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E2F800B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321798">
        <w:rPr>
          <w:rFonts w:eastAsia="Calibri"/>
          <w:sz w:val="20"/>
          <w:szCs w:val="20"/>
        </w:rPr>
        <w:t>7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467695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21798" w:rsidRPr="00321798">
        <w:rPr>
          <w:rFonts w:eastAsia="Calibri"/>
          <w:b/>
          <w:bCs/>
          <w:sz w:val="20"/>
          <w:szCs w:val="20"/>
          <w:lang w:eastAsia="en-US"/>
        </w:rPr>
        <w:t>Zakup materiałów zużywalnych do hodowli i testów komórkowych w grancie FENG: pipety serologiczne o różnej objętości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3E6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1798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776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2026-07-23T11:49:00Z</dcterms:modified>
</cp:coreProperties>
</file>