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245EF92D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FB03E8">
        <w:rPr>
          <w:rFonts w:eastAsia="Calibri"/>
          <w:bCs/>
          <w:sz w:val="18"/>
        </w:rPr>
        <w:t>28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32B1A235" w:rsidR="008312E6" w:rsidRDefault="008312E6" w:rsidP="00FB03E8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FB03E8" w:rsidRPr="00FB03E8">
        <w:rPr>
          <w:b/>
          <w:bCs/>
        </w:rPr>
        <w:t>Zakup</w:t>
      </w:r>
      <w:r w:rsidR="00FB03E8">
        <w:rPr>
          <w:b/>
          <w:bCs/>
        </w:rPr>
        <w:t xml:space="preserve"> </w:t>
      </w:r>
      <w:r w:rsidR="00FB03E8" w:rsidRPr="00FB03E8">
        <w:rPr>
          <w:b/>
          <w:bCs/>
        </w:rPr>
        <w:t>odczynników do określania liczby komórek w grancie FENG - barwnik fluorescencyjny do rozróżniania komórek</w:t>
      </w:r>
      <w:r w:rsidR="00FB03E8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64BA7D9B" w14:textId="77777777" w:rsidR="000C744D" w:rsidRDefault="000C744D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33AF3CC1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DAFAF36" w14:textId="77777777" w:rsidR="009A314A" w:rsidRDefault="009A314A" w:rsidP="002A58D8">
      <w:pPr>
        <w:spacing w:line="257" w:lineRule="auto"/>
        <w:ind w:left="11" w:right="0" w:hanging="11"/>
        <w:rPr>
          <w:rFonts w:ascii="Calibri" w:eastAsia="Calibri" w:hAnsi="Calibri" w:cs="Calibri"/>
          <w:b/>
          <w:bCs/>
        </w:rPr>
      </w:pPr>
    </w:p>
    <w:p w14:paraId="30798DE7" w14:textId="4B0AF045" w:rsidR="00D03673" w:rsidRDefault="00FB03E8" w:rsidP="002A58D8">
      <w:pPr>
        <w:tabs>
          <w:tab w:val="left" w:pos="3969"/>
        </w:tabs>
        <w:spacing w:after="0" w:line="259" w:lineRule="auto"/>
        <w:ind w:left="0" w:right="0" w:firstLine="0"/>
        <w:rPr>
          <w:b/>
          <w:bCs/>
        </w:rPr>
      </w:pPr>
      <w:r w:rsidRPr="00FB03E8">
        <w:rPr>
          <w:b/>
          <w:bCs/>
        </w:rPr>
        <w:t>Zakup</w:t>
      </w:r>
      <w:r>
        <w:rPr>
          <w:b/>
          <w:bCs/>
        </w:rPr>
        <w:t xml:space="preserve"> </w:t>
      </w:r>
      <w:r w:rsidRPr="00FB03E8">
        <w:rPr>
          <w:b/>
          <w:bCs/>
        </w:rPr>
        <w:t>odczynników do określania liczby komórek w grancie FENG - barwnik fluorescencyjny do rozróżniania komórek</w:t>
      </w:r>
    </w:p>
    <w:p w14:paraId="746DFFD6" w14:textId="77777777" w:rsidR="00FB03E8" w:rsidRDefault="00FB03E8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3827"/>
        <w:gridCol w:w="1823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9A314A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9A314A" w:rsidRPr="002A58D8" w14:paraId="377D447A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EDE37" w14:textId="77777777" w:rsidR="00FB03E8" w:rsidRDefault="00FB03E8" w:rsidP="00FB03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</w:t>
            </w:r>
            <w:r w:rsidRPr="00FB03E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arwnik fluorescencyjny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FB03E8">
              <w:rPr>
                <w:rFonts w:ascii="Arial" w:hAnsi="Arial" w:cs="Arial"/>
                <w:b/>
                <w:bCs/>
                <w:sz w:val="18"/>
                <w:szCs w:val="18"/>
              </w:rPr>
              <w:t>do rozróżniania komórek</w:t>
            </w:r>
          </w:p>
          <w:p w14:paraId="6BA4AB32" w14:textId="7A882312" w:rsidR="000C744D" w:rsidRPr="00FB03E8" w:rsidRDefault="003E300D" w:rsidP="00FB03E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Fixable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Viability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Stain</w:t>
            </w:r>
            <w:proofErr w:type="spellEnd"/>
            <w:r w:rsidR="00FB03E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0C744D" w:rsidRPr="000C744D">
              <w:rPr>
                <w:rFonts w:ascii="Arial" w:hAnsi="Arial" w:cs="Arial"/>
                <w:sz w:val="18"/>
                <w:szCs w:val="18"/>
              </w:rPr>
              <w:t>o następujących cechach:</w:t>
            </w:r>
          </w:p>
          <w:p w14:paraId="274894D4" w14:textId="77777777" w:rsidR="000C744D" w:rsidRPr="000C744D" w:rsidRDefault="000C744D" w:rsidP="000C744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211F3709" w14:textId="5753BB29" w:rsidR="000E1C5A" w:rsidRPr="000E1C5A" w:rsidRDefault="00D03673" w:rsidP="000E1C5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D03673">
              <w:rPr>
                <w:rFonts w:ascii="Arial" w:hAnsi="Arial" w:cs="Arial"/>
                <w:sz w:val="18"/>
                <w:szCs w:val="18"/>
              </w:rPr>
              <w:t xml:space="preserve"> </w:t>
            </w:r>
            <w:r w:rsidR="000E1C5A" w:rsidRPr="000E1C5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0E1C5A" w:rsidRPr="000E1C5A">
              <w:rPr>
                <w:rFonts w:ascii="Arial" w:hAnsi="Arial" w:cs="Arial"/>
                <w:sz w:val="18"/>
                <w:szCs w:val="18"/>
              </w:rPr>
              <w:t>Barwnik żywotności komórek typu „</w:t>
            </w:r>
            <w:proofErr w:type="spellStart"/>
            <w:r w:rsidR="000E1C5A" w:rsidRPr="000E1C5A">
              <w:rPr>
                <w:rFonts w:ascii="Arial" w:hAnsi="Arial" w:cs="Arial"/>
                <w:sz w:val="18"/>
                <w:szCs w:val="18"/>
              </w:rPr>
              <w:t>fixable</w:t>
            </w:r>
            <w:proofErr w:type="spellEnd"/>
            <w:r w:rsidR="000E1C5A" w:rsidRPr="000E1C5A">
              <w:rPr>
                <w:rFonts w:ascii="Arial" w:hAnsi="Arial" w:cs="Arial"/>
                <w:sz w:val="18"/>
                <w:szCs w:val="18"/>
              </w:rPr>
              <w:t xml:space="preserve">” – umożliwia rozróżnienie komórek żywych i martwych w analizie </w:t>
            </w:r>
            <w:proofErr w:type="spellStart"/>
            <w:r w:rsidR="000E1C5A" w:rsidRPr="000E1C5A">
              <w:rPr>
                <w:rFonts w:ascii="Arial" w:hAnsi="Arial" w:cs="Arial"/>
                <w:sz w:val="18"/>
                <w:szCs w:val="18"/>
              </w:rPr>
              <w:t>cytometrii</w:t>
            </w:r>
            <w:proofErr w:type="spellEnd"/>
            <w:r w:rsidR="000E1C5A" w:rsidRPr="000E1C5A">
              <w:rPr>
                <w:rFonts w:ascii="Arial" w:hAnsi="Arial" w:cs="Arial"/>
                <w:sz w:val="18"/>
                <w:szCs w:val="18"/>
              </w:rPr>
              <w:t xml:space="preserve"> przepływowej </w:t>
            </w:r>
          </w:p>
          <w:p w14:paraId="458F0B58" w14:textId="7D29F992" w:rsidR="000E1C5A" w:rsidRPr="000E1C5A" w:rsidRDefault="000E1C5A" w:rsidP="000E1C5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E1C5A">
              <w:rPr>
                <w:rFonts w:ascii="Arial" w:hAnsi="Arial" w:cs="Arial"/>
                <w:sz w:val="18"/>
                <w:szCs w:val="18"/>
              </w:rPr>
              <w:t xml:space="preserve">  Kowalencyjne wiązanie z aminami komórkowymi (powierzchniowymi i wewnątrzkomórkowymi), co zapewnia trwałe znakowanie komórek </w:t>
            </w:r>
          </w:p>
          <w:p w14:paraId="1BB2F5DA" w14:textId="13DC154D" w:rsidR="000E1C5A" w:rsidRPr="000E1C5A" w:rsidRDefault="000E1C5A" w:rsidP="000E1C5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E1C5A">
              <w:rPr>
                <w:rFonts w:ascii="Arial" w:hAnsi="Arial" w:cs="Arial"/>
                <w:sz w:val="18"/>
                <w:szCs w:val="18"/>
              </w:rPr>
              <w:t xml:space="preserve">  Kompatybilność z utrwalaniem i </w:t>
            </w:r>
            <w:proofErr w:type="spellStart"/>
            <w:r w:rsidRPr="000E1C5A">
              <w:rPr>
                <w:rFonts w:ascii="Arial" w:hAnsi="Arial" w:cs="Arial"/>
                <w:sz w:val="18"/>
                <w:szCs w:val="18"/>
              </w:rPr>
              <w:t>permeabilizacją</w:t>
            </w:r>
            <w:proofErr w:type="spellEnd"/>
            <w:r w:rsidRPr="000E1C5A">
              <w:rPr>
                <w:rFonts w:ascii="Arial" w:hAnsi="Arial" w:cs="Arial"/>
                <w:sz w:val="18"/>
                <w:szCs w:val="18"/>
              </w:rPr>
              <w:t xml:space="preserve"> – sygnał pozostaje stabilny po fiksacji formaldehydem i podczas </w:t>
            </w:r>
            <w:proofErr w:type="spellStart"/>
            <w:r w:rsidRPr="000E1C5A">
              <w:rPr>
                <w:rFonts w:ascii="Arial" w:hAnsi="Arial" w:cs="Arial"/>
                <w:sz w:val="18"/>
                <w:szCs w:val="18"/>
              </w:rPr>
              <w:t>barwień</w:t>
            </w:r>
            <w:proofErr w:type="spellEnd"/>
            <w:r w:rsidRPr="000E1C5A">
              <w:rPr>
                <w:rFonts w:ascii="Arial" w:hAnsi="Arial" w:cs="Arial"/>
                <w:sz w:val="18"/>
                <w:szCs w:val="18"/>
              </w:rPr>
              <w:t xml:space="preserve"> wewnątrzkomórkowych </w:t>
            </w:r>
          </w:p>
          <w:p w14:paraId="3B8E7F97" w14:textId="67A72FA7" w:rsidR="000E1C5A" w:rsidRPr="000E1C5A" w:rsidRDefault="000E1C5A" w:rsidP="000E1C5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E1C5A">
              <w:rPr>
                <w:rFonts w:ascii="Arial" w:hAnsi="Arial" w:cs="Arial"/>
                <w:sz w:val="18"/>
                <w:szCs w:val="18"/>
              </w:rPr>
              <w:t>  Wzbudzanie laserem czerwonym (</w:t>
            </w:r>
            <w:proofErr w:type="spellStart"/>
            <w:r w:rsidRPr="000E1C5A">
              <w:rPr>
                <w:rFonts w:ascii="Arial" w:hAnsi="Arial" w:cs="Arial"/>
                <w:sz w:val="18"/>
                <w:szCs w:val="18"/>
              </w:rPr>
              <w:t>λex</w:t>
            </w:r>
            <w:proofErr w:type="spellEnd"/>
            <w:r w:rsidRPr="000E1C5A">
              <w:rPr>
                <w:rFonts w:ascii="Arial" w:hAnsi="Arial" w:cs="Arial"/>
                <w:sz w:val="18"/>
                <w:szCs w:val="18"/>
              </w:rPr>
              <w:t xml:space="preserve"> ~657 </w:t>
            </w:r>
            <w:proofErr w:type="spellStart"/>
            <w:r w:rsidRPr="000E1C5A">
              <w:rPr>
                <w:rFonts w:ascii="Arial" w:hAnsi="Arial" w:cs="Arial"/>
                <w:sz w:val="18"/>
                <w:szCs w:val="18"/>
              </w:rPr>
              <w:t>nm</w:t>
            </w:r>
            <w:proofErr w:type="spellEnd"/>
            <w:r w:rsidRPr="000E1C5A">
              <w:rPr>
                <w:rFonts w:ascii="Arial" w:hAnsi="Arial" w:cs="Arial"/>
                <w:sz w:val="18"/>
                <w:szCs w:val="18"/>
              </w:rPr>
              <w:t xml:space="preserve">, emisja ~700 </w:t>
            </w:r>
            <w:proofErr w:type="spellStart"/>
            <w:r w:rsidRPr="000E1C5A">
              <w:rPr>
                <w:rFonts w:ascii="Arial" w:hAnsi="Arial" w:cs="Arial"/>
                <w:sz w:val="18"/>
                <w:szCs w:val="18"/>
              </w:rPr>
              <w:t>nm</w:t>
            </w:r>
            <w:proofErr w:type="spellEnd"/>
            <w:r w:rsidRPr="000E1C5A">
              <w:rPr>
                <w:rFonts w:ascii="Arial" w:hAnsi="Arial" w:cs="Arial"/>
                <w:sz w:val="18"/>
                <w:szCs w:val="18"/>
              </w:rPr>
              <w:t>) – odpowiedni do paneli wielokolorowych (np. detekcja w kanale APC-R700/</w:t>
            </w:r>
            <w:proofErr w:type="spellStart"/>
            <w:r w:rsidRPr="000E1C5A">
              <w:rPr>
                <w:rFonts w:ascii="Arial" w:hAnsi="Arial" w:cs="Arial"/>
                <w:sz w:val="18"/>
                <w:szCs w:val="18"/>
              </w:rPr>
              <w:t>Alexa</w:t>
            </w:r>
            <w:proofErr w:type="spellEnd"/>
            <w:r w:rsidRPr="000E1C5A">
              <w:rPr>
                <w:rFonts w:ascii="Arial" w:hAnsi="Arial" w:cs="Arial"/>
                <w:sz w:val="18"/>
                <w:szCs w:val="18"/>
              </w:rPr>
              <w:t xml:space="preserve"> Fluor 700) </w:t>
            </w:r>
          </w:p>
          <w:p w14:paraId="64C1A410" w14:textId="5357BAD4" w:rsidR="000E1C5A" w:rsidRPr="000E1C5A" w:rsidRDefault="000E1C5A" w:rsidP="000E1C5A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E1C5A">
              <w:rPr>
                <w:rFonts w:ascii="Arial" w:hAnsi="Arial" w:cs="Arial"/>
                <w:sz w:val="18"/>
                <w:szCs w:val="18"/>
              </w:rPr>
              <w:t>  Wyraźne różnicowanie komórek nekrotycznych – komórki martwe wykazują 10–20× wyższą fluorescencję niż żywe</w:t>
            </w:r>
          </w:p>
          <w:p w14:paraId="2D422458" w14:textId="73BFDC57" w:rsidR="009A314A" w:rsidRPr="009A314A" w:rsidRDefault="009A314A" w:rsidP="000C744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7D3358AB" w:rsidR="009A314A" w:rsidRPr="009A314A" w:rsidRDefault="003E300D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3E300D">
              <w:rPr>
                <w:rFonts w:ascii="Arial" w:hAnsi="Arial" w:cs="Arial"/>
                <w:sz w:val="18"/>
                <w:szCs w:val="16"/>
              </w:rPr>
              <w:t>564997</w:t>
            </w:r>
            <w:r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9A314A">
              <w:rPr>
                <w:rFonts w:ascii="Arial" w:hAnsi="Arial" w:cs="Arial"/>
                <w:sz w:val="18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26226B4E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2A58D8" w:rsidRPr="002A58D8" w14:paraId="414D6D12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F8859" w14:textId="77777777" w:rsidR="00695614" w:rsidRDefault="00695614">
      <w:pPr>
        <w:spacing w:after="0" w:line="240" w:lineRule="auto"/>
      </w:pPr>
      <w:r>
        <w:separator/>
      </w:r>
    </w:p>
  </w:endnote>
  <w:endnote w:type="continuationSeparator" w:id="0">
    <w:p w14:paraId="3AD387AE" w14:textId="77777777" w:rsidR="00695614" w:rsidRDefault="00695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73F11" w14:textId="77777777" w:rsidR="00695614" w:rsidRDefault="00695614">
      <w:pPr>
        <w:spacing w:after="0" w:line="240" w:lineRule="auto"/>
      </w:pPr>
      <w:r>
        <w:separator/>
      </w:r>
    </w:p>
  </w:footnote>
  <w:footnote w:type="continuationSeparator" w:id="0">
    <w:p w14:paraId="23C098FE" w14:textId="77777777" w:rsidR="00695614" w:rsidRDefault="00695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13AC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0C744D"/>
    <w:rsid w:val="000E1C5A"/>
    <w:rsid w:val="00107ACB"/>
    <w:rsid w:val="00123BE5"/>
    <w:rsid w:val="00160954"/>
    <w:rsid w:val="00161ED6"/>
    <w:rsid w:val="001903D1"/>
    <w:rsid w:val="001A456E"/>
    <w:rsid w:val="001A75F3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3E300D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695614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A314A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3673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03E8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4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0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8</cp:revision>
  <dcterms:created xsi:type="dcterms:W3CDTF">2026-01-26T10:34:00Z</dcterms:created>
  <dcterms:modified xsi:type="dcterms:W3CDTF">2026-06-24T13:50:00Z</dcterms:modified>
</cp:coreProperties>
</file>