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39B73F98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794B98">
        <w:rPr>
          <w:rFonts w:eastAsia="Calibri"/>
          <w:bCs/>
          <w:sz w:val="18"/>
        </w:rPr>
        <w:t>21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7D544334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ED41EE" w:rsidRPr="00ED41EE">
        <w:rPr>
          <w:b/>
          <w:bCs/>
        </w:rPr>
        <w:t>Zakup odczynnika– surowicy płodowej bydlęcej w grancie FENG</w:t>
      </w:r>
      <w:r w:rsidR="00ED41EE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430491" w14:textId="77777777" w:rsidR="00ED41EE" w:rsidRDefault="00ED41EE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32464FD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30798DE7" w14:textId="46E88BF1" w:rsidR="00D03673" w:rsidRDefault="00ED41EE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ED41EE">
        <w:rPr>
          <w:rFonts w:ascii="Calibri" w:eastAsia="Calibri" w:hAnsi="Calibri" w:cs="Calibri"/>
          <w:b/>
          <w:bCs/>
        </w:rPr>
        <w:t>Zakup odczynnika– surowicy płodowej bydlęcej w grancie FENG</w:t>
      </w:r>
    </w:p>
    <w:p w14:paraId="624D715E" w14:textId="77777777" w:rsidR="00ED41EE" w:rsidRDefault="00ED41EE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E36EE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Odczynnik – surowica płodowa bydlęca 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o następujących cechach:</w:t>
            </w:r>
          </w:p>
          <w:p w14:paraId="622E1EC7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5F9BBA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- Research Grade Fetal Bovine Serum,South American Origin 500 ml</w:t>
            </w:r>
          </w:p>
          <w:p w14:paraId="54E5E378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545594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Pochodzenie: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Surowica pochodzi z krajów Ameryki Południowej zatwierdzonych przez UE (np. Brazylia, Urugwaj), z pełną identyfikowalnością źródła.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</w:p>
          <w:p w14:paraId="4863C038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5D1F9B0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Stopień czystości i filtracja: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Potrójna filtracja przez membrany o porowatości 0,1 μm (100 nm), zapewniająca wysoką czystość i sterylność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5364AA81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7EE0156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Zgodność z normami: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Produkt zgodny z aktualnymi normami cGMP oraz przepisami 9 CFR 113.53 dotyczącymi testów wirusowych.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0B61E5A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2691C22" w14:textId="57B4C9A6" w:rsid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Właściwości biologiczne: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Niska zawartość przeciwciał, wysoka zawartość czynników wzrostu, niski poziom endotoksyn (≤10 EU/ml) i hemoglobiny (≤25 mg/dl)</w:t>
            </w:r>
          </w:p>
          <w:p w14:paraId="4DA8D8EB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D422458" w14:textId="186E00E1" w:rsidR="009A314A" w:rsidRPr="009A314A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Zastosowanie: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Przeznaczona do badań naukowych (research use only), odpowiednia dla szerokiego zakresu linii komórkowych, w tym komórek pierwotnych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6E607EE6" w:rsidR="009A314A" w:rsidRPr="009A314A" w:rsidRDefault="005A015C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5A015C">
              <w:rPr>
                <w:rFonts w:ascii="Arial" w:hAnsi="Arial" w:cs="Arial"/>
                <w:sz w:val="18"/>
                <w:szCs w:val="16"/>
              </w:rPr>
              <w:t>SV30160.03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4D4D7526" w:rsidR="009A314A" w:rsidRPr="002A58D8" w:rsidRDefault="00794B98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653E5" w14:textId="77777777" w:rsidR="00C541BB" w:rsidRDefault="00C541BB">
      <w:pPr>
        <w:spacing w:after="0" w:line="240" w:lineRule="auto"/>
      </w:pPr>
      <w:r>
        <w:separator/>
      </w:r>
    </w:p>
  </w:endnote>
  <w:endnote w:type="continuationSeparator" w:id="0">
    <w:p w14:paraId="393C9487" w14:textId="77777777" w:rsidR="00C541BB" w:rsidRDefault="00C54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4371C" w14:textId="77777777" w:rsidR="00C541BB" w:rsidRDefault="00C541BB">
      <w:pPr>
        <w:spacing w:after="0" w:line="240" w:lineRule="auto"/>
      </w:pPr>
      <w:r>
        <w:separator/>
      </w:r>
    </w:p>
  </w:footnote>
  <w:footnote w:type="continuationSeparator" w:id="0">
    <w:p w14:paraId="0ED4E8B5" w14:textId="77777777" w:rsidR="00C541BB" w:rsidRDefault="00C54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11A"/>
    <w:rsid w:val="00383BCC"/>
    <w:rsid w:val="003D441B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015C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95614"/>
    <w:rsid w:val="007132EE"/>
    <w:rsid w:val="00780728"/>
    <w:rsid w:val="007829DA"/>
    <w:rsid w:val="00794B98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541BB"/>
    <w:rsid w:val="00CD1044"/>
    <w:rsid w:val="00CE2AE9"/>
    <w:rsid w:val="00D0367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D41EE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8</cp:revision>
  <dcterms:created xsi:type="dcterms:W3CDTF">2026-01-26T10:34:00Z</dcterms:created>
  <dcterms:modified xsi:type="dcterms:W3CDTF">2026-04-14T07:53:00Z</dcterms:modified>
</cp:coreProperties>
</file>