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0D51CB67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D03673">
        <w:rPr>
          <w:rFonts w:eastAsia="Calibri"/>
          <w:bCs/>
          <w:sz w:val="18"/>
        </w:rPr>
        <w:t>11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402190EC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D03673" w:rsidRPr="00D03673">
        <w:rPr>
          <w:b/>
          <w:bCs/>
        </w:rPr>
        <w:t>Zakup odczynników do określania liczby komórek w grancie FENG - zestaw do oznaczania żywotności komórek</w:t>
      </w:r>
      <w:r w:rsidR="00D03673" w:rsidRPr="00D03673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4BA7D9B" w14:textId="77777777" w:rsidR="000C744D" w:rsidRDefault="000C744D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33AF3CC1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53CD51A5" w14:textId="2E55E687" w:rsidR="000C744D" w:rsidRDefault="00D03673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D03673">
        <w:rPr>
          <w:rFonts w:ascii="Calibri" w:eastAsia="Calibri" w:hAnsi="Calibri" w:cs="Calibri"/>
          <w:b/>
          <w:bCs/>
        </w:rPr>
        <w:t>Zakup odczynników do określania liczby komórek w grancie FENG - zestaw do oznaczania żywotności komórek</w:t>
      </w:r>
    </w:p>
    <w:p w14:paraId="30798DE7" w14:textId="77777777" w:rsidR="00D03673" w:rsidRDefault="00D03673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314A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A4AB32" w14:textId="489024FA" w:rsidR="000C744D" w:rsidRPr="000C744D" w:rsidRDefault="00D03673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Z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estaw do oznaczania żywotności komórek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LIVE/DEAD™ Fixable Near-IR Dead Cell Stain Kit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  <w:r w:rsidR="000C744D" w:rsidRPr="000C744D">
              <w:rPr>
                <w:rFonts w:ascii="Arial" w:hAnsi="Arial" w:cs="Arial"/>
                <w:sz w:val="18"/>
                <w:szCs w:val="18"/>
              </w:rPr>
              <w:t>o następujących cechach:</w:t>
            </w:r>
          </w:p>
          <w:p w14:paraId="274894D4" w14:textId="77777777" w:rsidR="000C744D" w:rsidRPr="000C744D" w:rsidRDefault="000C744D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</w:p>
          <w:p w14:paraId="76408733" w14:textId="77777777" w:rsidR="00D03673" w:rsidRPr="00D03673" w:rsidRDefault="00D03673" w:rsidP="00D0367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03673">
              <w:rPr>
                <w:rFonts w:ascii="Arial" w:hAnsi="Arial" w:cs="Arial"/>
                <w:sz w:val="18"/>
                <w:szCs w:val="18"/>
              </w:rPr>
              <w:t xml:space="preserve"> 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Przeznaczenie i zastosowanie</w:t>
            </w:r>
            <w:r w:rsidRPr="00D03673">
              <w:rPr>
                <w:rFonts w:ascii="Arial" w:hAnsi="Arial" w:cs="Arial"/>
                <w:sz w:val="18"/>
                <w:szCs w:val="18"/>
              </w:rPr>
              <w:t xml:space="preserve"> – zestaw do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oceny żywotności komórek (cell viability)</w:t>
            </w:r>
            <w:r w:rsidRPr="00D03673">
              <w:rPr>
                <w:rFonts w:ascii="Arial" w:hAnsi="Arial" w:cs="Arial"/>
                <w:sz w:val="18"/>
                <w:szCs w:val="18"/>
              </w:rPr>
              <w:t xml:space="preserve"> przed utrwaleniem i permeabilizacją, stosowany w analizie cytometrii przepływowej z detekcją fluorescencyjną. </w:t>
            </w:r>
          </w:p>
          <w:p w14:paraId="248FB5A7" w14:textId="77777777" w:rsidR="00D03673" w:rsidRPr="00D03673" w:rsidRDefault="00D03673" w:rsidP="00D0367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03673">
              <w:rPr>
                <w:rFonts w:ascii="Arial" w:hAnsi="Arial" w:cs="Arial"/>
                <w:sz w:val="18"/>
                <w:szCs w:val="18"/>
              </w:rPr>
              <w:t xml:space="preserve"> 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Kompatybilność z urządzeniami</w:t>
            </w:r>
            <w:r w:rsidRPr="00D03673">
              <w:rPr>
                <w:rFonts w:ascii="Arial" w:hAnsi="Arial" w:cs="Arial"/>
                <w:sz w:val="18"/>
                <w:szCs w:val="18"/>
              </w:rPr>
              <w:t xml:space="preserve"> – zoptymalizowany do użytku z cytometrami przepływowymi wykorzystującymi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laser czerwony (633–635 nm)</w:t>
            </w:r>
            <w:r w:rsidRPr="00D03673">
              <w:rPr>
                <w:rFonts w:ascii="Arial" w:hAnsi="Arial" w:cs="Arial"/>
                <w:sz w:val="18"/>
                <w:szCs w:val="18"/>
              </w:rPr>
              <w:t xml:space="preserve">, co umożliwia jasną i jednoznaczną dyskryminację żywych i martwych komórek w jednym kanale. </w:t>
            </w:r>
          </w:p>
          <w:p w14:paraId="3838808A" w14:textId="77777777" w:rsidR="00D03673" w:rsidRPr="00D03673" w:rsidRDefault="00D03673" w:rsidP="00D0367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03673">
              <w:rPr>
                <w:rFonts w:ascii="Arial" w:hAnsi="Arial" w:cs="Arial"/>
                <w:sz w:val="18"/>
                <w:szCs w:val="18"/>
              </w:rPr>
              <w:t xml:space="preserve"> 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Format i wydajność</w:t>
            </w:r>
            <w:r w:rsidRPr="00D03673"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80 analiz (80 assays)</w:t>
            </w:r>
            <w:r w:rsidRPr="00D03673">
              <w:rPr>
                <w:rFonts w:ascii="Arial" w:hAnsi="Arial" w:cs="Arial"/>
                <w:sz w:val="18"/>
                <w:szCs w:val="18"/>
              </w:rPr>
              <w:t xml:space="preserve"> w zestawie z reagentami (suchy proszek do rekonstrukcji), co determinuje skalę badań i liczbę próbek. </w:t>
            </w:r>
          </w:p>
          <w:p w14:paraId="6AA802CD" w14:textId="77777777" w:rsidR="00D03673" w:rsidRPr="00D03673" w:rsidRDefault="00D03673" w:rsidP="00D0367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03673">
              <w:rPr>
                <w:rFonts w:ascii="Arial" w:hAnsi="Arial" w:cs="Arial"/>
                <w:sz w:val="18"/>
                <w:szCs w:val="18"/>
              </w:rPr>
              <w:t xml:space="preserve"> 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Stabilność barwnika</w:t>
            </w:r>
            <w:r w:rsidRPr="00D03673">
              <w:rPr>
                <w:rFonts w:ascii="Arial" w:hAnsi="Arial" w:cs="Arial"/>
                <w:sz w:val="18"/>
                <w:szCs w:val="18"/>
              </w:rPr>
              <w:t xml:space="preserve"> – barwniki są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liofilizowane w osobnych fiolkach</w:t>
            </w:r>
            <w:r w:rsidRPr="00D03673">
              <w:rPr>
                <w:rFonts w:ascii="Arial" w:hAnsi="Arial" w:cs="Arial"/>
                <w:sz w:val="18"/>
                <w:szCs w:val="18"/>
              </w:rPr>
              <w:t xml:space="preserve"> dla zwiększenia stabilności i zachowania wydajności podczas przechowywania i pracy. </w:t>
            </w:r>
          </w:p>
          <w:p w14:paraId="4A80560D" w14:textId="77777777" w:rsidR="00D03673" w:rsidRPr="00D03673" w:rsidRDefault="00D03673" w:rsidP="00D03673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sz w:val="18"/>
                <w:szCs w:val="18"/>
              </w:rPr>
            </w:pPr>
            <w:r w:rsidRPr="00D03673">
              <w:rPr>
                <w:rFonts w:ascii="Arial" w:hAnsi="Arial" w:cs="Arial"/>
                <w:sz w:val="18"/>
                <w:szCs w:val="18"/>
              </w:rPr>
              <w:t xml:space="preserve"> 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Mechanizm działania barwnika</w:t>
            </w:r>
            <w:r w:rsidRPr="00D03673">
              <w:rPr>
                <w:rFonts w:ascii="Arial" w:hAnsi="Arial" w:cs="Arial"/>
                <w:sz w:val="18"/>
                <w:szCs w:val="18"/>
              </w:rPr>
              <w:t xml:space="preserve"> – barwnik </w:t>
            </w:r>
            <w:r w:rsidRPr="00D03673">
              <w:rPr>
                <w:rFonts w:ascii="Arial" w:hAnsi="Arial" w:cs="Arial"/>
                <w:b/>
                <w:bCs/>
                <w:sz w:val="18"/>
                <w:szCs w:val="18"/>
              </w:rPr>
              <w:t>wiąże się kowalencyjnie z aminami na powierzchni i wewnątrz komórek</w:t>
            </w:r>
            <w:r w:rsidRPr="00D03673">
              <w:rPr>
                <w:rFonts w:ascii="Arial" w:hAnsi="Arial" w:cs="Arial"/>
                <w:sz w:val="18"/>
                <w:szCs w:val="18"/>
              </w:rPr>
              <w:t xml:space="preserve"> o uszkodzonych błonach, co daje wyraźne różnice intensywności sygnału między żywymi i martwymi komórkami po utrwaleniu.</w:t>
            </w:r>
          </w:p>
          <w:p w14:paraId="2D422458" w14:textId="3DA82281" w:rsidR="009A314A" w:rsidRPr="009A314A" w:rsidRDefault="009A314A" w:rsidP="000C744D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05F9D261" w:rsidR="009A314A" w:rsidRPr="009A314A" w:rsidRDefault="00D03673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D03673">
              <w:rPr>
                <w:rFonts w:ascii="Arial" w:hAnsi="Arial" w:cs="Arial"/>
                <w:sz w:val="18"/>
                <w:szCs w:val="16"/>
              </w:rPr>
              <w:t>L34975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9A314A"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26226B4E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1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F8859" w14:textId="77777777" w:rsidR="00695614" w:rsidRDefault="00695614">
      <w:pPr>
        <w:spacing w:after="0" w:line="240" w:lineRule="auto"/>
      </w:pPr>
      <w:r>
        <w:separator/>
      </w:r>
    </w:p>
  </w:endnote>
  <w:endnote w:type="continuationSeparator" w:id="0">
    <w:p w14:paraId="3AD387AE" w14:textId="77777777" w:rsidR="00695614" w:rsidRDefault="00695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D73F11" w14:textId="77777777" w:rsidR="00695614" w:rsidRDefault="00695614">
      <w:pPr>
        <w:spacing w:after="0" w:line="240" w:lineRule="auto"/>
      </w:pPr>
      <w:r>
        <w:separator/>
      </w:r>
    </w:p>
  </w:footnote>
  <w:footnote w:type="continuationSeparator" w:id="0">
    <w:p w14:paraId="23C098FE" w14:textId="77777777" w:rsidR="00695614" w:rsidRDefault="00695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0C744D"/>
    <w:rsid w:val="00107ACB"/>
    <w:rsid w:val="00123BE5"/>
    <w:rsid w:val="00160954"/>
    <w:rsid w:val="00161ED6"/>
    <w:rsid w:val="001903D1"/>
    <w:rsid w:val="001A456E"/>
    <w:rsid w:val="001A75F3"/>
    <w:rsid w:val="001B51A5"/>
    <w:rsid w:val="001C41D9"/>
    <w:rsid w:val="00202E87"/>
    <w:rsid w:val="00203A6E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BCC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67D8"/>
    <w:rsid w:val="005C5C17"/>
    <w:rsid w:val="005D0F1D"/>
    <w:rsid w:val="005F0376"/>
    <w:rsid w:val="006260D2"/>
    <w:rsid w:val="0063468F"/>
    <w:rsid w:val="006429D2"/>
    <w:rsid w:val="00665950"/>
    <w:rsid w:val="00692F0D"/>
    <w:rsid w:val="00695614"/>
    <w:rsid w:val="007132EE"/>
    <w:rsid w:val="00780728"/>
    <w:rsid w:val="007829DA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314A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D1044"/>
    <w:rsid w:val="00CE2AE9"/>
    <w:rsid w:val="00D03673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590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5</cp:revision>
  <dcterms:created xsi:type="dcterms:W3CDTF">2026-01-26T10:34:00Z</dcterms:created>
  <dcterms:modified xsi:type="dcterms:W3CDTF">2026-02-25T13:16:00Z</dcterms:modified>
</cp:coreProperties>
</file>