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4EF0D8EF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0C744D">
        <w:rPr>
          <w:rFonts w:eastAsia="Calibri"/>
          <w:bCs/>
          <w:sz w:val="18"/>
        </w:rPr>
        <w:t>4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28B144F5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0C744D" w:rsidRPr="000C744D">
        <w:rPr>
          <w:b/>
          <w:bCs/>
        </w:rPr>
        <w:t>Zakup materiałów do analiz komórkowych w grancie FENG - barwnik DRAQ7™ do cytometrii przepływowej</w:t>
      </w:r>
      <w:r w:rsidR="000C744D" w:rsidRPr="000C744D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64BA7D9B" w14:textId="77777777" w:rsidR="000C744D" w:rsidRDefault="000C744D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33AF3CC1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DAFAF36" w14:textId="77777777" w:rsidR="009A314A" w:rsidRDefault="009A314A" w:rsidP="002A58D8">
      <w:pPr>
        <w:spacing w:line="257" w:lineRule="auto"/>
        <w:ind w:left="11" w:right="0" w:hanging="11"/>
        <w:rPr>
          <w:rFonts w:ascii="Calibri" w:eastAsia="Calibri" w:hAnsi="Calibri" w:cs="Calibri"/>
          <w:b/>
          <w:bCs/>
        </w:rPr>
      </w:pPr>
    </w:p>
    <w:p w14:paraId="68CA592D" w14:textId="5248F434" w:rsidR="009A314A" w:rsidRDefault="000C744D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0C744D">
        <w:rPr>
          <w:rFonts w:ascii="Calibri" w:eastAsia="Calibri" w:hAnsi="Calibri" w:cs="Calibri"/>
          <w:b/>
          <w:bCs/>
        </w:rPr>
        <w:t>Zakup materiałów do analiz komórkowych w grancie FENG - barwnik DRAQ7™ do cytometrii przepływowej</w:t>
      </w:r>
    </w:p>
    <w:p w14:paraId="53CD51A5" w14:textId="77777777" w:rsidR="000C744D" w:rsidRDefault="000C744D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3827"/>
        <w:gridCol w:w="1823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9A314A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9A314A" w:rsidRPr="002A58D8" w14:paraId="377D447A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4AB32" w14:textId="77777777" w:rsidR="000C744D" w:rsidRPr="000C744D" w:rsidRDefault="000C744D" w:rsidP="000C744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C744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Barwnik DRAQ7™ do cytometrii przepływowej </w:t>
            </w:r>
            <w:r w:rsidRPr="000C744D">
              <w:rPr>
                <w:rFonts w:ascii="Arial" w:hAnsi="Arial" w:cs="Arial"/>
                <w:sz w:val="18"/>
                <w:szCs w:val="18"/>
              </w:rPr>
              <w:t>o następujących cechach:</w:t>
            </w:r>
          </w:p>
          <w:p w14:paraId="274894D4" w14:textId="77777777" w:rsidR="000C744D" w:rsidRPr="000C744D" w:rsidRDefault="000C744D" w:rsidP="000C744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26823FA4" w14:textId="77777777" w:rsidR="000C744D" w:rsidRPr="000C744D" w:rsidRDefault="000C744D" w:rsidP="000C744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C744D">
              <w:rPr>
                <w:rFonts w:ascii="Arial" w:hAnsi="Arial" w:cs="Arial"/>
                <w:sz w:val="18"/>
                <w:szCs w:val="18"/>
              </w:rPr>
              <w:t>  Przeznaczenie: Barwnik do oznaczania martwych komórek w cytometrii przepływowej, oparty na integralności błony komórkowej; umożliwia rozróżnienie żywych i martwych komórek w jednym kanale.</w:t>
            </w:r>
          </w:p>
          <w:p w14:paraId="6DD03A03" w14:textId="77777777" w:rsidR="000C744D" w:rsidRPr="000C744D" w:rsidRDefault="000C744D" w:rsidP="000C744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C744D">
              <w:rPr>
                <w:rFonts w:ascii="Arial" w:hAnsi="Arial" w:cs="Arial"/>
                <w:sz w:val="18"/>
                <w:szCs w:val="18"/>
              </w:rPr>
              <w:t xml:space="preserve">  Mechanizm działania: Amine-reactive dye – wiąże się kowalencyjnie z aminami wewnątrz i na powierzchni komórek, a wzór barwienia jest zachowany po utrwaleniu formaldehydem. </w:t>
            </w:r>
          </w:p>
          <w:p w14:paraId="684E7136" w14:textId="77777777" w:rsidR="000C744D" w:rsidRPr="000C744D" w:rsidRDefault="000C744D" w:rsidP="000C744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C744D">
              <w:rPr>
                <w:rFonts w:ascii="Arial" w:hAnsi="Arial" w:cs="Arial"/>
                <w:sz w:val="18"/>
                <w:szCs w:val="18"/>
              </w:rPr>
              <w:t xml:space="preserve">  Kolor i właściwości optyczne: Fluorescencyjny barwnik (np. Blue, Violet, Aqua, Green, Red, Far Red, Near-IR), z określonymi wartościami Ex/Em (np. Blue: ~350/450 nm). </w:t>
            </w:r>
          </w:p>
          <w:p w14:paraId="245A02A7" w14:textId="77777777" w:rsidR="000C744D" w:rsidRPr="000C744D" w:rsidRDefault="000C744D" w:rsidP="000C744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0C744D">
              <w:rPr>
                <w:rFonts w:ascii="Arial" w:hAnsi="Arial" w:cs="Arial"/>
                <w:sz w:val="18"/>
                <w:szCs w:val="18"/>
              </w:rPr>
              <w:t xml:space="preserve"> Kompatybilność z procedurami: Nadaje się do utrwalania próbek (fixable), co pozwala na dalsze barwienia wewnątrzkomórkowe i neutralizację patogenów. </w:t>
            </w:r>
          </w:p>
          <w:p w14:paraId="2D422458" w14:textId="2C2498EF" w:rsidR="009A314A" w:rsidRPr="009A314A" w:rsidRDefault="000C744D" w:rsidP="000C744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0C744D">
              <w:rPr>
                <w:rFonts w:ascii="Arial" w:hAnsi="Arial" w:cs="Arial"/>
                <w:sz w:val="18"/>
                <w:szCs w:val="18"/>
              </w:rPr>
              <w:t>  Warunki przechowywania: Zawiera liofilizowany barwnik i DMSO; przechowywać w ≤ –20 °C, w ciemności, w stanie suchym; stabilność co najmniej 6 miesięcy.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3F0FFB37" w:rsidR="009A314A" w:rsidRPr="009A314A" w:rsidRDefault="000C744D" w:rsidP="009A314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0C744D">
              <w:rPr>
                <w:rFonts w:ascii="Arial" w:hAnsi="Arial" w:cs="Arial"/>
                <w:sz w:val="18"/>
                <w:szCs w:val="16"/>
              </w:rPr>
              <w:t xml:space="preserve">D15106 </w:t>
            </w:r>
            <w:r w:rsidR="009A314A">
              <w:rPr>
                <w:rFonts w:ascii="Arial" w:hAnsi="Arial" w:cs="Arial"/>
                <w:sz w:val="18"/>
                <w:szCs w:val="16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26226B4E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2A58D8" w:rsidRPr="002A58D8" w14:paraId="414D6D12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FCA88" w14:textId="77777777" w:rsidR="001A75F3" w:rsidRDefault="001A75F3">
      <w:pPr>
        <w:spacing w:after="0" w:line="240" w:lineRule="auto"/>
      </w:pPr>
      <w:r>
        <w:separator/>
      </w:r>
    </w:p>
  </w:endnote>
  <w:endnote w:type="continuationSeparator" w:id="0">
    <w:p w14:paraId="5FD39715" w14:textId="77777777" w:rsidR="001A75F3" w:rsidRDefault="001A7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602FF" w14:textId="77777777" w:rsidR="001A75F3" w:rsidRDefault="001A75F3">
      <w:pPr>
        <w:spacing w:after="0" w:line="240" w:lineRule="auto"/>
      </w:pPr>
      <w:r>
        <w:separator/>
      </w:r>
    </w:p>
  </w:footnote>
  <w:footnote w:type="continuationSeparator" w:id="0">
    <w:p w14:paraId="6302F544" w14:textId="77777777" w:rsidR="001A75F3" w:rsidRDefault="001A75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13AC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0C744D"/>
    <w:rsid w:val="00107ACB"/>
    <w:rsid w:val="00123BE5"/>
    <w:rsid w:val="00160954"/>
    <w:rsid w:val="00161ED6"/>
    <w:rsid w:val="001903D1"/>
    <w:rsid w:val="001A456E"/>
    <w:rsid w:val="001A75F3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A58D8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A314A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566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4</cp:revision>
  <dcterms:created xsi:type="dcterms:W3CDTF">2026-01-26T10:34:00Z</dcterms:created>
  <dcterms:modified xsi:type="dcterms:W3CDTF">2026-02-24T11:18:00Z</dcterms:modified>
</cp:coreProperties>
</file>