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348E3187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6E5BEE">
        <w:rPr>
          <w:rFonts w:eastAsia="Calibri"/>
          <w:bCs/>
          <w:sz w:val="18"/>
        </w:rPr>
        <w:t>1</w:t>
      </w:r>
      <w:r w:rsidRPr="006E2256">
        <w:rPr>
          <w:rFonts w:eastAsia="Calibri"/>
          <w:bCs/>
          <w:sz w:val="18"/>
        </w:rPr>
        <w:t>/FENG-</w:t>
      </w:r>
      <w:r w:rsidR="00773621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7844AB0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773621" w:rsidRPr="00773621">
        <w:rPr>
          <w:b/>
          <w:bCs/>
        </w:rPr>
        <w:t>Zakup</w:t>
      </w:r>
      <w:r w:rsidR="00773621">
        <w:rPr>
          <w:b/>
          <w:bCs/>
        </w:rPr>
        <w:t>u</w:t>
      </w:r>
      <w:r w:rsidR="00773621" w:rsidRPr="00773621">
        <w:rPr>
          <w:b/>
          <w:bCs/>
        </w:rPr>
        <w:t xml:space="preserve"> materiałów do separacji monocytów w układzie zamkniętym i hodowli makrofagów w grancie FENG – bufor PBS-EDTA do systemu CliniMACS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44615AF7" w14:textId="77777777" w:rsidR="00773621" w:rsidRDefault="00773621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7D626FA0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02A6A41E" w:rsidR="002A58D8" w:rsidRDefault="00773621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773621">
        <w:rPr>
          <w:rFonts w:ascii="Calibri" w:eastAsia="Calibri" w:hAnsi="Calibri" w:cs="Calibri"/>
          <w:b/>
          <w:bCs/>
        </w:rPr>
        <w:t>Zakup materiałów do separacji monocytów w układzie zamkniętym i hodowli makrofagów w grancie FENG – bufor PBS-EDTA do systemu CliniMACS</w:t>
      </w:r>
    </w:p>
    <w:p w14:paraId="4DF2B477" w14:textId="77777777" w:rsidR="00773621" w:rsidRDefault="00773621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E764A7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383D1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CliniMACS PBS/EDTA Buffer 2 x 3 L (CE)  :</w:t>
            </w:r>
          </w:p>
          <w:p w14:paraId="0A04B368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71636562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Skład buforu: </w:t>
            </w:r>
            <w:r w:rsidRPr="00773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Bufor fosforanowy PBS (Phosphate-Buffered Saline) z dodatkiem 1 mM EDTA w pH około 7,2, zapewniający stabilne warunki osmotyczne dla komórek w procedurach separacji i przygotowania komórek. </w:t>
            </w:r>
          </w:p>
          <w:p w14:paraId="0D35612F" w14:textId="77777777" w:rsidR="00773621" w:rsidRPr="00773621" w:rsidRDefault="00C06930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hyperlink r:id="rId7" w:tgtFrame="_blank" w:history="1"/>
          </w:p>
          <w:p w14:paraId="53DDEFDC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Charakterystyka produktu: </w:t>
            </w:r>
            <w:r w:rsidRPr="00773621">
              <w:rPr>
                <w:rFonts w:ascii="Arial" w:eastAsia="Arial" w:hAnsi="Arial" w:cs="Arial"/>
                <w:color w:val="auto"/>
                <w:sz w:val="18"/>
                <w:szCs w:val="18"/>
              </w:rPr>
              <w:t>Sterylny, izotoniczny roztwór wolny od endotoksyn i drobnoustrojów, dostarczany jako gotowy do użycia płyn w plastikowych workach o pojemności 3 L (2 × 3 L).</w:t>
            </w: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0447B613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4E20A0A3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Zgodność regulacyjna: </w:t>
            </w:r>
            <w:r w:rsidRPr="00773621">
              <w:rPr>
                <w:rFonts w:ascii="Arial" w:eastAsia="Arial" w:hAnsi="Arial" w:cs="Arial"/>
                <w:color w:val="auto"/>
                <w:sz w:val="18"/>
                <w:szCs w:val="18"/>
              </w:rPr>
              <w:t>Produkt oznakowany znakiem CE jako wyroby medyczne zgodne z normą ISO 13485, przeznaczony do łączenia z systemem CliniMACS do separacji komórek in vitro (wykonywany jako część procedur laboratoryjnych zgodnych z przepisami UE).</w:t>
            </w: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54BF6DB9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4EE12A3F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Przeznaczenie zastosowania: </w:t>
            </w:r>
            <w:r w:rsidRPr="00773621">
              <w:rPr>
                <w:rFonts w:ascii="Arial" w:eastAsia="Arial" w:hAnsi="Arial" w:cs="Arial"/>
                <w:color w:val="auto"/>
                <w:sz w:val="18"/>
                <w:szCs w:val="18"/>
              </w:rPr>
              <w:t>Bufor wykorzystywany w procedurach separacji komórek hematopoetycznych i innych typów komórek w systemach magnetycznych MACS, służący do płukania, rozcieńczania i przygotowania próbek komórkowych przed analizą.</w:t>
            </w: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2F1E9D23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447F10EB" w14:textId="77777777" w:rsidR="00773621" w:rsidRPr="00773621" w:rsidRDefault="00773621" w:rsidP="00773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773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Opakowanie i ilość: </w:t>
            </w:r>
            <w:r w:rsidRPr="00773621">
              <w:rPr>
                <w:rFonts w:ascii="Arial" w:eastAsia="Arial" w:hAnsi="Arial" w:cs="Arial"/>
                <w:color w:val="auto"/>
                <w:sz w:val="18"/>
                <w:szCs w:val="18"/>
              </w:rPr>
              <w:t>Dostawa w zestawie dwóch opakowań po 3 L (2 × 3 L) w sterylnych workach, wraz z dokumentacją zgodności CE i specyfikacją produktu</w:t>
            </w:r>
          </w:p>
          <w:p w14:paraId="2D422458" w14:textId="77777777" w:rsidR="00E764A7" w:rsidRPr="002A58D8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66B9B14F" w:rsidR="00E764A7" w:rsidRPr="002A58D8" w:rsidRDefault="00773621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773621">
              <w:rPr>
                <w:rFonts w:ascii="ArialMT" w:hAnsi="ArialMT" w:cs="ArialMT"/>
                <w:sz w:val="16"/>
                <w:szCs w:val="16"/>
              </w:rPr>
              <w:t>200-070-029 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583868538"/>
            <w:placeholder>
              <w:docPart w:val="8DBABA3045744E64BCB16C4B896A30D7"/>
            </w:placeholder>
          </w:sdtPr>
          <w:sdtEndPr/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60CD2D4" w14:textId="33CA6962" w:rsidR="00E764A7" w:rsidRPr="002A58D8" w:rsidRDefault="00773621" w:rsidP="00E764A7">
                <w:pPr>
                  <w:spacing w:after="0" w:line="257" w:lineRule="auto"/>
                  <w:ind w:left="0" w:right="0" w:firstLine="0"/>
                  <w:jc w:val="left"/>
                  <w:rPr>
                    <w:rFonts w:ascii="Calibri" w:eastAsia="Calibri" w:hAnsi="Calibri" w:cs="Calibri"/>
                    <w:color w:val="auto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5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E764A7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F5910" w14:textId="77777777" w:rsidR="00C06930" w:rsidRDefault="00C06930">
      <w:pPr>
        <w:spacing w:after="0" w:line="240" w:lineRule="auto"/>
      </w:pPr>
      <w:r>
        <w:separator/>
      </w:r>
    </w:p>
  </w:endnote>
  <w:endnote w:type="continuationSeparator" w:id="0">
    <w:p w14:paraId="24241AFF" w14:textId="77777777" w:rsidR="00C06930" w:rsidRDefault="00C06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C4936" w14:textId="77777777" w:rsidR="00C06930" w:rsidRDefault="00C06930">
      <w:pPr>
        <w:spacing w:after="0" w:line="240" w:lineRule="auto"/>
      </w:pPr>
      <w:r>
        <w:separator/>
      </w:r>
    </w:p>
  </w:footnote>
  <w:footnote w:type="continuationSeparator" w:id="0">
    <w:p w14:paraId="735587E5" w14:textId="77777777" w:rsidR="00C06930" w:rsidRDefault="00C06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323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E5BEE"/>
    <w:rsid w:val="007132EE"/>
    <w:rsid w:val="00773621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315C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06930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764A7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s://macs.yilimart.com/shop/details/200-070-029?utm_source=chatgp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DBABA3045744E64BCB16C4B896A30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1514A-3C47-4034-9FCE-B00A9AD87508}"/>
      </w:docPartPr>
      <w:docPartBody>
        <w:p w:rsidR="005D03AB" w:rsidRDefault="00E4352B" w:rsidP="00E4352B">
          <w:pPr>
            <w:pStyle w:val="8DBABA3045744E64BCB16C4B896A30D7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52B"/>
    <w:rsid w:val="002C7BE0"/>
    <w:rsid w:val="005D03AB"/>
    <w:rsid w:val="00D66E67"/>
    <w:rsid w:val="00E4352B"/>
    <w:rsid w:val="00FE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4352B"/>
    <w:rPr>
      <w:color w:val="808080"/>
    </w:rPr>
  </w:style>
  <w:style w:type="paragraph" w:customStyle="1" w:styleId="8DBABA3045744E64BCB16C4B896A30D7">
    <w:name w:val="8DBABA3045744E64BCB16C4B896A30D7"/>
    <w:rsid w:val="00E43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5</cp:revision>
  <dcterms:created xsi:type="dcterms:W3CDTF">2026-01-26T10:34:00Z</dcterms:created>
  <dcterms:modified xsi:type="dcterms:W3CDTF">2026-02-11T10:02:00Z</dcterms:modified>
</cp:coreProperties>
</file>