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7698D75F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E764A7">
        <w:rPr>
          <w:rFonts w:eastAsia="Calibri"/>
          <w:bCs/>
          <w:sz w:val="18"/>
        </w:rPr>
        <w:t>2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43368770" w14:textId="4158C32F" w:rsidR="008312E6" w:rsidRPr="00F26D82" w:rsidRDefault="008312E6" w:rsidP="002A58D8">
      <w:pPr>
        <w:tabs>
          <w:tab w:val="left" w:pos="3969"/>
        </w:tabs>
        <w:spacing w:before="240" w:after="0" w:line="259" w:lineRule="auto"/>
        <w:ind w:left="0" w:right="0" w:firstLine="0"/>
        <w:rPr>
          <w:i/>
          <w:iCs/>
          <w:sz w:val="20"/>
          <w:szCs w:val="20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E764A7" w:rsidRPr="00E764A7">
        <w:rPr>
          <w:b/>
          <w:bCs/>
        </w:rPr>
        <w:t>Zakupu materiałów do separacji monocytów w układzie zamkniętym i hodowli makrofagów w grancie FENG – kulki badawcze i kolumny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6357C99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0BDF51FB" w14:textId="2FEBC857" w:rsidR="002A58D8" w:rsidRDefault="00E764A7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  <w:r w:rsidRPr="00E764A7">
        <w:rPr>
          <w:rFonts w:ascii="Calibri" w:eastAsia="Calibri" w:hAnsi="Calibri" w:cs="Calibri"/>
          <w:b/>
          <w:bCs/>
        </w:rPr>
        <w:t>Zakupu materiałów do separacji monocytów w układzie zamkniętym i hodowli makrofagów w grancie FENG – kulki badawcze i kolumny</w:t>
      </w:r>
      <w:r w:rsidRPr="00E764A7">
        <w:rPr>
          <w:rFonts w:ascii="Calibri" w:eastAsia="Calibri" w:hAnsi="Calibri" w:cs="Calibri"/>
          <w:b/>
          <w:bCs/>
        </w:rPr>
        <w:t xml:space="preserve"> </w:t>
      </w:r>
    </w:p>
    <w:p w14:paraId="11323089" w14:textId="6BD92EBD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4238"/>
        <w:gridCol w:w="1412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2A58D8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E764A7" w:rsidRPr="002A58D8" w14:paraId="377D447A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95281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LS </w:t>
            </w:r>
            <w:proofErr w:type="spellStart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Columns</w:t>
            </w:r>
            <w:proofErr w:type="spellEnd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, 25 PCS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:</w:t>
            </w:r>
          </w:p>
          <w:p w14:paraId="106F0D9D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0F69F5FD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Przeznaczenie i funkcja</w:t>
            </w:r>
          </w:p>
          <w:p w14:paraId="6F0E95FE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1D9D1C20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Kolumny LS do magnetycznej separacji komórek przeznaczone są do </w:t>
            </w: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pozytywnej selekcji komórek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oraz do </w:t>
            </w:r>
            <w:proofErr w:type="spellStart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deplecji</w:t>
            </w:r>
            <w:proofErr w:type="spellEnd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 silnie znakowanych komórek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zastosowane w systemach MACS™ Separator. </w:t>
            </w:r>
          </w:p>
          <w:p w14:paraId="2F4CAC00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2B6F5491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Zgodność z systemami separacyjnymi</w:t>
            </w:r>
          </w:p>
          <w:p w14:paraId="690C0CF9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0E5AA58B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Produkt musi być </w:t>
            </w: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kompatybilny z separatorami MACS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w szczególności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MidiMACS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™,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QuadroMACS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™,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SuperMACS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™ II oraz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MultiMACS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™ Cell24 Separator Plus (wraz z odpowiednimi adapterami).</w:t>
            </w:r>
          </w:p>
          <w:p w14:paraId="468D8D5A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</w:p>
          <w:p w14:paraId="3F7496F4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Wydajność i pojemność kolumn</w:t>
            </w:r>
          </w:p>
          <w:p w14:paraId="76CFDFA3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1FC3579E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Kolumny zapewniają wydajność do </w:t>
            </w: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1 × 10⁸ znakowanych magnetycznie komórek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z populacji do </w:t>
            </w: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2 × 10⁹ komórek całkowitych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(wartości orientacyjne dla materiału z krwi, szpiku lub tkanki — dla innych typów tkanek wymagane odniesienie do specyfikacji MACS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Reagents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). </w:t>
            </w:r>
          </w:p>
          <w:p w14:paraId="2405155A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7210E613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Jakość wykonania i sterylność</w:t>
            </w:r>
          </w:p>
          <w:p w14:paraId="0D575294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6A07ABFD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Kolumny LS są </w:t>
            </w: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bezpiecznie i pojedynczo zapakowane w stanie sterylnym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przeznaczone do </w:t>
            </w: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użytku jednorazowego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co minimalizuje ryzyko kontaminacji próbki. </w:t>
            </w:r>
          </w:p>
          <w:p w14:paraId="435DF9E7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0748E977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Konstrukcja i właściwości techniczne</w:t>
            </w:r>
          </w:p>
          <w:p w14:paraId="133125D8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5F857801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Kolumny wykorzystują </w:t>
            </w: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matrycę z ferromagnetycznych mikrosfer zapewniającą wysokie gradienty pola magnetycznego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, co umożliwia efektywne zatrzymanie magnetycznie znakowanych komórek przy jednoczesnym przepływie zawiesiny komórkowej</w:t>
            </w:r>
          </w:p>
          <w:p w14:paraId="2D422458" w14:textId="77777777" w:rsidR="00E764A7" w:rsidRPr="002A58D8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10608D5E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 xml:space="preserve">130-042-401 </w:t>
            </w:r>
            <w:r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583868538"/>
            <w:placeholder>
              <w:docPart w:val="8DBABA3045744E64BCB16C4B896A30D7"/>
            </w:placeholder>
          </w:sdtPr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060CD2D4" w14:textId="07D6B412" w:rsidR="00E764A7" w:rsidRPr="002A58D8" w:rsidRDefault="00E764A7" w:rsidP="00E764A7">
                <w:pPr>
                  <w:spacing w:after="0" w:line="257" w:lineRule="auto"/>
                  <w:ind w:left="0" w:right="0" w:firstLine="0"/>
                  <w:jc w:val="left"/>
                  <w:rPr>
                    <w:rFonts w:ascii="Calibri" w:eastAsia="Calibri" w:hAnsi="Calibri" w:cs="Calibri"/>
                    <w:color w:val="auto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2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E764A7" w:rsidRPr="002A58D8" w14:paraId="63FF2E09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845DA" w14:textId="4F960A3A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2</w:t>
            </w: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353CB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CD14 </w:t>
            </w:r>
            <w:proofErr w:type="spellStart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MicroBeads</w:t>
            </w:r>
            <w:proofErr w:type="spellEnd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human</w:t>
            </w:r>
            <w:proofErr w:type="spellEnd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, 2 </w:t>
            </w:r>
            <w:proofErr w:type="spellStart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mL</w:t>
            </w:r>
            <w:proofErr w:type="spellEnd"/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:</w:t>
            </w:r>
          </w:p>
          <w:p w14:paraId="34826B63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2B910E3E" w14:textId="77777777" w:rsid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Przeznaczenie i zastosowanie: CD14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MicroBeads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human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, 2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mL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są przeznaczone do separacji magnetycznej ludzkich komórek monocytów i </w:t>
            </w:r>
          </w:p>
          <w:p w14:paraId="7593232D" w14:textId="77777777" w:rsid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  <w:p w14:paraId="0A5E8A3D" w14:textId="76DC1EB6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makrofagów poprzez selekcję pozytywną (pozyskiwanie CD14</w:t>
            </w:r>
            <w:r w:rsidRPr="00E764A7">
              <w:rPr>
                <w:rFonts w:ascii="Cambria Math" w:eastAsia="Arial" w:hAnsi="Cambria Math" w:cs="Cambria Math"/>
                <w:color w:val="auto"/>
                <w:sz w:val="18"/>
                <w:szCs w:val="18"/>
              </w:rPr>
              <w:t>⁺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) lub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deplecję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(usuwanie CD14</w:t>
            </w:r>
            <w:r w:rsidRPr="00E764A7">
              <w:rPr>
                <w:rFonts w:ascii="Cambria Math" w:eastAsia="Arial" w:hAnsi="Cambria Math" w:cs="Cambria Math"/>
                <w:color w:val="auto"/>
                <w:sz w:val="18"/>
                <w:szCs w:val="18"/>
              </w:rPr>
              <w:t>⁺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) z materiałów biologicznych takich jak krew obwodowa, PBMC, krew pępowinowa, płyny ciała (np. opłucna, otrzewna, płyn stawowy) oraz tkanki (np. śledziona, węzły chłonne). </w:t>
            </w:r>
          </w:p>
          <w:p w14:paraId="67E9EE65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146B874A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Zawartość i format produktu:</w:t>
            </w:r>
          </w:p>
          <w:p w14:paraId="7C31D940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1F68755F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Zestaw zawiera 2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mL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MicroBeads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sprzężonych z monoklonalnymi przeciwciałami anty-CD14 (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izoforma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mysia IgG2a) w buforze z substancją stabilizującą i 0,05% azotanu sodu, gotowy do użycia w standardowych protokołach MACS®. </w:t>
            </w:r>
          </w:p>
          <w:p w14:paraId="056B8094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083050B0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Wydajność separacji: </w:t>
            </w:r>
          </w:p>
          <w:p w14:paraId="409415C7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0C1442B8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Produkt jest optymalizowany do stosowania dla do 1 × 10⁹ komórek łącznie, co odpowiada około 100 standardowym separacjom magnetycznym przy pełnym wykorzystaniu objętości reagentów (orientacyjna dochowana zgodnie z kartą techniczną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Miltenyi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Biotec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). </w:t>
            </w:r>
          </w:p>
          <w:p w14:paraId="00505501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24D9B7C5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 xml:space="preserve">Kompatybilność z systemami MACS: </w:t>
            </w:r>
          </w:p>
          <w:p w14:paraId="4F6BC115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73DB138C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Reagenty są zgodne z kolumnami MACS (np. MS, LS, XS) oraz separatorami MACS,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autoMACS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i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autoMACS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Pro, umożliwiając zarówno pozytywną selekcję, jak i </w:t>
            </w:r>
            <w:proofErr w:type="spellStart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deplecję</w:t>
            </w:r>
            <w:proofErr w:type="spellEnd"/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CD14</w:t>
            </w:r>
            <w:r w:rsidRPr="00E764A7">
              <w:rPr>
                <w:rFonts w:ascii="Cambria Math" w:eastAsia="Arial" w:hAnsi="Cambria Math" w:cs="Cambria Math"/>
                <w:color w:val="auto"/>
                <w:sz w:val="18"/>
                <w:szCs w:val="18"/>
              </w:rPr>
              <w:t>⁺</w:t>
            </w: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 xml:space="preserve"> komórek w zależności od wybranego formatu kolumny. </w:t>
            </w:r>
          </w:p>
          <w:p w14:paraId="3689E8A8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63AF462D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562421AF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  <w:t>Warunki przechowywania i użytkowania:</w:t>
            </w:r>
          </w:p>
          <w:p w14:paraId="432D21A6" w14:textId="77777777" w:rsidR="00E764A7" w:rsidRPr="00E764A7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b/>
                <w:bCs/>
                <w:color w:val="auto"/>
                <w:sz w:val="18"/>
                <w:szCs w:val="18"/>
              </w:rPr>
            </w:pPr>
          </w:p>
          <w:p w14:paraId="76FC73F0" w14:textId="3570A670" w:rsidR="00E764A7" w:rsidRPr="002A58D8" w:rsidRDefault="00E764A7" w:rsidP="00E764A7">
            <w:pPr>
              <w:tabs>
                <w:tab w:val="num" w:pos="1440"/>
              </w:tabs>
              <w:spacing w:after="0" w:line="257" w:lineRule="auto"/>
              <w:ind w:left="0" w:right="0" w:firstLine="0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E764A7">
              <w:rPr>
                <w:rFonts w:ascii="Arial" w:eastAsia="Arial" w:hAnsi="Arial" w:cs="Arial"/>
                <w:color w:val="auto"/>
                <w:sz w:val="18"/>
                <w:szCs w:val="18"/>
              </w:rPr>
              <w:t>Produkt przechowywany w temperaturze 2–8 °C, chroniony przed światłem; producent zaleca nie zamrażać reagentów i stosować zgodnie z instrukcją obsługi MACS® w laboratoriach badawczych.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8C3C9" w14:textId="631C185A" w:rsidR="00E764A7" w:rsidRPr="009E6949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>
              <w:rPr>
                <w:rFonts w:ascii="ArialMT" w:hAnsi="ArialMT" w:cs="ArialMT"/>
                <w:sz w:val="16"/>
                <w:szCs w:val="16"/>
              </w:rPr>
              <w:lastRenderedPageBreak/>
              <w:t xml:space="preserve">130-050-201 </w:t>
            </w:r>
            <w:r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119838772"/>
            <w:placeholder>
              <w:docPart w:val="794270FEE72E4B5D89AA064E83B4843D"/>
            </w:placeholder>
          </w:sdtPr>
          <w:sdtContent>
            <w:tc>
              <w:tcPr>
                <w:tcW w:w="847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</w:tcPr>
              <w:p w14:paraId="5B7BCAC3" w14:textId="13A3E3F2" w:rsidR="00E764A7" w:rsidRDefault="00E764A7" w:rsidP="00E764A7">
                <w:pPr>
                  <w:spacing w:after="0" w:line="257" w:lineRule="auto"/>
                  <w:ind w:left="0" w:right="0" w:firstLine="0"/>
                  <w:jc w:val="left"/>
                  <w:rPr>
                    <w:rFonts w:ascii="Calibri" w:eastAsia="Calibri" w:hAnsi="Calibri" w:cs="Calibri"/>
                    <w:color w:val="auto"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4</w:t>
                </w:r>
              </w:p>
            </w:tc>
          </w:sdtContent>
        </w:sdt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E856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00C0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ADD1D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15037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E764A7" w:rsidRPr="002A58D8" w14:paraId="414D6D12" w14:textId="77777777" w:rsidTr="002A58D8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42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E764A7" w:rsidRPr="002A58D8" w:rsidRDefault="00E764A7" w:rsidP="00E764A7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0E367" w14:textId="77777777" w:rsidR="00123323" w:rsidRDefault="00123323">
      <w:pPr>
        <w:spacing w:after="0" w:line="240" w:lineRule="auto"/>
      </w:pPr>
      <w:r>
        <w:separator/>
      </w:r>
    </w:p>
  </w:endnote>
  <w:endnote w:type="continuationSeparator" w:id="0">
    <w:p w14:paraId="42267158" w14:textId="77777777" w:rsidR="00123323" w:rsidRDefault="00123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8055D" w14:textId="77777777" w:rsidR="00123323" w:rsidRDefault="00123323">
      <w:pPr>
        <w:spacing w:after="0" w:line="240" w:lineRule="auto"/>
      </w:pPr>
      <w:r>
        <w:separator/>
      </w:r>
    </w:p>
  </w:footnote>
  <w:footnote w:type="continuationSeparator" w:id="0">
    <w:p w14:paraId="0D9F37F1" w14:textId="77777777" w:rsidR="00123323" w:rsidRDefault="00123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323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764A7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DBABA3045744E64BCB16C4B896A30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1514A-3C47-4034-9FCE-B00A9AD87508}"/>
      </w:docPartPr>
      <w:docPartBody>
        <w:p w:rsidR="00000000" w:rsidRDefault="00E4352B" w:rsidP="00E4352B">
          <w:pPr>
            <w:pStyle w:val="8DBABA3045744E64BCB16C4B896A30D7"/>
          </w:pPr>
          <w:r w:rsidRPr="00A9188F">
            <w:rPr>
              <w:rStyle w:val="Tekstzastpczy"/>
            </w:rPr>
            <w:t>Wpisz ilość</w:t>
          </w:r>
        </w:p>
      </w:docPartBody>
    </w:docPart>
    <w:docPart>
      <w:docPartPr>
        <w:name w:val="794270FEE72E4B5D89AA064E83B484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8886DE-927C-4A58-B2FB-7F83760F7F34}"/>
      </w:docPartPr>
      <w:docPartBody>
        <w:p w:rsidR="00000000" w:rsidRDefault="00E4352B" w:rsidP="00E4352B">
          <w:pPr>
            <w:pStyle w:val="794270FEE72E4B5D89AA064E83B4843D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52B"/>
    <w:rsid w:val="00D66E67"/>
    <w:rsid w:val="00E4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4352B"/>
    <w:rPr>
      <w:color w:val="808080"/>
    </w:rPr>
  </w:style>
  <w:style w:type="paragraph" w:customStyle="1" w:styleId="1E7982516C514D00A28F0F46045F2545">
    <w:name w:val="1E7982516C514D00A28F0F46045F2545"/>
    <w:rsid w:val="00E4352B"/>
  </w:style>
  <w:style w:type="paragraph" w:customStyle="1" w:styleId="539002DBEF34406E9DF2240C89863CF0">
    <w:name w:val="539002DBEF34406E9DF2240C89863CF0"/>
    <w:rsid w:val="00E4352B"/>
  </w:style>
  <w:style w:type="paragraph" w:customStyle="1" w:styleId="8DBABA3045744E64BCB16C4B896A30D7">
    <w:name w:val="8DBABA3045744E64BCB16C4B896A30D7"/>
    <w:rsid w:val="00E4352B"/>
  </w:style>
  <w:style w:type="paragraph" w:customStyle="1" w:styleId="794270FEE72E4B5D89AA064E83B4843D">
    <w:name w:val="794270FEE72E4B5D89AA064E83B4843D"/>
    <w:rsid w:val="00E435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822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3</cp:revision>
  <dcterms:created xsi:type="dcterms:W3CDTF">2026-01-26T10:34:00Z</dcterms:created>
  <dcterms:modified xsi:type="dcterms:W3CDTF">2026-02-02T14:09:00Z</dcterms:modified>
</cp:coreProperties>
</file>