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6FCAE937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026D82">
        <w:rPr>
          <w:rFonts w:ascii="Times New Roman" w:eastAsia="Calibri" w:hAnsi="Times New Roman" w:cs="Times New Roman"/>
          <w:bCs/>
          <w:sz w:val="18"/>
        </w:rPr>
        <w:t>30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 xml:space="preserve">/FENG-PAN/SGGW/2025 </w:t>
      </w:r>
      <w:bookmarkEnd w:id="0"/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6D169587" w:rsidR="00D3249C" w:rsidRPr="00D3249C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026D82">
        <w:rPr>
          <w:rFonts w:ascii="Times New Roman" w:eastAsia="Times New Roman" w:hAnsi="Times New Roman" w:cs="Times New Roman"/>
          <w:szCs w:val="24"/>
          <w:lang w:eastAsia="pl-PL"/>
        </w:rPr>
        <w:t>30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862CA8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na dostawy lub usługi służące wyłącznie do celów prac badawczych, eksperymentalnych, naukowych lub rozwojowych albo z zakresu działalności kulturalnej, których wartość jest równa lub przekracza netto 130</w:t>
      </w:r>
      <w:r w:rsidR="00411B3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Zakup</w:t>
      </w:r>
      <w:r w:rsidR="00B24858">
        <w:rPr>
          <w:rFonts w:ascii="Times New Roman" w:eastAsia="Times New Roman" w:hAnsi="Times New Roman" w:cs="Times New Roman"/>
          <w:b/>
          <w:lang w:eastAsia="pl-PL"/>
        </w:rPr>
        <w:t>u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 xml:space="preserve"> materiałów do separacji monocytów w układzie zamkniętym i hodowli makrofagów w grancie FENG –</w:t>
      </w:r>
      <w:r w:rsidR="0024038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26D82">
        <w:rPr>
          <w:rFonts w:ascii="Times New Roman" w:eastAsia="Times New Roman" w:hAnsi="Times New Roman" w:cs="Times New Roman"/>
          <w:b/>
          <w:lang w:eastAsia="pl-PL"/>
        </w:rPr>
        <w:t>kulki badawcze i kolumny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77777777" w:rsidR="00D3249C" w:rsidRP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199C6F67" w14:textId="7E5501E7" w:rsidR="00D3249C" w:rsidRPr="00D3249C" w:rsidRDefault="00D3249C" w:rsidP="00862CA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862C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8663073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</w:t>
      </w:r>
      <w:r w:rsidR="00F30138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23FF9D55" w14:textId="1FB59F5B" w:rsidR="00012BDA" w:rsidRPr="00F24171" w:rsidRDefault="00012BDA" w:rsidP="00F2417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A3D6F1C" w14:textId="77777777" w:rsidR="00B24858" w:rsidRPr="00B24858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Calibri" w:eastAsia="Calibri" w:hAnsi="Calibri" w:cs="Calibri"/>
          <w:b/>
          <w:bCs/>
        </w:rPr>
        <w:t>D</w:t>
      </w:r>
      <w:r w:rsidR="7B108065" w:rsidRPr="7B108065">
        <w:rPr>
          <w:rFonts w:ascii="Calibri" w:eastAsia="Calibri" w:hAnsi="Calibri" w:cs="Calibri"/>
          <w:b/>
          <w:bCs/>
        </w:rPr>
        <w:t>ostawa</w:t>
      </w:r>
      <w:r w:rsidR="006403DB">
        <w:rPr>
          <w:rFonts w:ascii="Calibri" w:eastAsia="Calibri" w:hAnsi="Calibri" w:cs="Calibri"/>
          <w:b/>
          <w:bCs/>
        </w:rPr>
        <w:t xml:space="preserve">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materiałów do separacji monocytów w układzie zamkniętym i hodowli makrofagów w grancie FENG –</w:t>
      </w:r>
    </w:p>
    <w:p w14:paraId="25B10D18" w14:textId="01B5FF34" w:rsidR="00EF3563" w:rsidRDefault="00026D82" w:rsidP="00B24858">
      <w:pPr>
        <w:spacing w:line="257" w:lineRule="auto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Kulki badawcze i kolumny</w:t>
      </w:r>
    </w:p>
    <w:p w14:paraId="701B462D" w14:textId="5C438779" w:rsidR="00053430" w:rsidRDefault="60414D5A" w:rsidP="00B24858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6403DB" w14:paraId="1C3179C0" w14:textId="33DB3A0B" w:rsidTr="006403DB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7A23C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F30138" w14:paraId="56361F52" w14:textId="6D5D2EFD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9F6A1B" w14:textId="60E09EDC" w:rsidR="00EF3563" w:rsidRDefault="00026D82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LS </w:t>
            </w:r>
            <w:proofErr w:type="spellStart"/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Columns</w:t>
            </w:r>
            <w:proofErr w:type="spellEnd"/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, 25 PCS</w:t>
            </w:r>
            <w:r w:rsidR="00EF3563"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14:paraId="243B3836" w14:textId="0EE844BD" w:rsidR="00071CCC" w:rsidRDefault="00071CCC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9B4A214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 i funkcja</w:t>
            </w:r>
          </w:p>
          <w:p w14:paraId="543B2DCC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1BAB726" w14:textId="58F7921A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Kolumny LS do magnetycznej separacji komórek przeznaczone są do </w:t>
            </w: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pozytywnej selekcji komórek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oraz do </w:t>
            </w:r>
            <w:proofErr w:type="spellStart"/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deplecji</w:t>
            </w:r>
            <w:proofErr w:type="spellEnd"/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silnie znakowanych komórek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, zastosowane w systemach MACS™ Separator. </w:t>
            </w:r>
          </w:p>
          <w:p w14:paraId="2CACD7E6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53111D7F" w14:textId="143324DF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Zgodność z systemami separacyjnymi</w:t>
            </w:r>
          </w:p>
          <w:p w14:paraId="50850F40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0AEFDFD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Produkt musi być </w:t>
            </w: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kompatybilny z separatorami MACS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, w szczególności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MidiMACS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™,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QuadroMACS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™,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SuperMACS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™ II oraz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MultiMACS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>™ Cell24 Separator Plus (wraz z odpowiednimi adapterami).</w:t>
            </w:r>
          </w:p>
          <w:p w14:paraId="52A5722B" w14:textId="58AAEF66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3019BE14" w14:textId="445295E5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Wydajność i pojemność kolumn</w:t>
            </w:r>
          </w:p>
          <w:p w14:paraId="45A3C6F9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69DD2AA" w14:textId="2A5A939C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Kolumny zapewniają wydajność do </w:t>
            </w: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1 × 10⁸ znakowanych magnetycznie komórek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z populacji do </w:t>
            </w: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2 × 10⁹ komórek całkowitych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(wartości orientacyjne dla materiału z krwi, szpiku lub tkanki — dla innych typów tkanek wymagane odniesienie do specyfikacji MACS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Reagents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). </w:t>
            </w:r>
          </w:p>
          <w:p w14:paraId="6FDDA0D5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4FA7B5F3" w14:textId="50FCC934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Jakość wykonania i sterylność</w:t>
            </w:r>
          </w:p>
          <w:p w14:paraId="384CC677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FFBFE38" w14:textId="5F896E76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Kolumny LS są </w:t>
            </w: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bezpiecznie i pojedynczo zapakowane w stanie sterylnym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, przeznaczone do </w:t>
            </w: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użytku jednorazowego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, co minimalizuje ryzyko kontaminacji próbki. </w:t>
            </w:r>
          </w:p>
          <w:p w14:paraId="365F8C45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154AD78" w14:textId="66364456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 i właściwości techniczne</w:t>
            </w:r>
          </w:p>
          <w:p w14:paraId="1C626EB1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88FA9A4" w14:textId="0B176AA2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Kolumny wykorzystują </w:t>
            </w: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matrycę z ferromagnetycznych mikrosfer zapewniającą wysokie gradienty pola magnetycznego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>, co umożliwia efektywne zatrzymanie magnetycznie znakowanych komórek przy jednoczesnym przepływie zawiesiny komórkowej</w:t>
            </w:r>
          </w:p>
          <w:p w14:paraId="7FA1C752" w14:textId="77777777" w:rsidR="00071CCC" w:rsidRDefault="00071CCC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29A5028" w14:textId="2B755A8C" w:rsidR="00F30138" w:rsidRPr="00F30138" w:rsidRDefault="00F30138" w:rsidP="00026D82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7BA62B2D" w:rsidR="00F30138" w:rsidRPr="00F30138" w:rsidRDefault="00026D82" w:rsidP="00F30138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130-042-401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F30138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1583868538"/>
            <w:placeholder>
              <w:docPart w:val="F84BA1D79E5D405F8BA75B93DBAC7E19"/>
            </w:placeholder>
          </w:sdtPr>
          <w:sdtEndPr/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14E47E0D" w14:textId="3550D6C4" w:rsidR="00F30138" w:rsidRPr="00F30138" w:rsidRDefault="00026D82" w:rsidP="00F30138">
                <w:pPr>
                  <w:spacing w:line="257" w:lineRule="auto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2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26D82" w14:paraId="50F885C5" w14:textId="77777777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5748A4A" w14:textId="6930C5D5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20E6513" w14:textId="77777777" w:rsidR="00026D82" w:rsidRDefault="00026D82" w:rsidP="00026D82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CD14 </w:t>
            </w:r>
            <w:proofErr w:type="spellStart"/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MicroBeads</w:t>
            </w:r>
            <w:proofErr w:type="spellEnd"/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human</w:t>
            </w:r>
            <w:proofErr w:type="spellEnd"/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, 2 </w:t>
            </w:r>
            <w:proofErr w:type="spellStart"/>
            <w:r w:rsidRPr="00026D82">
              <w:rPr>
                <w:rFonts w:ascii="Arial" w:eastAsia="Arial" w:hAnsi="Arial" w:cs="Arial"/>
                <w:b/>
                <w:bCs/>
                <w:sz w:val="16"/>
                <w:szCs w:val="16"/>
              </w:rPr>
              <w:t>mL</w:t>
            </w:r>
            <w:proofErr w:type="spellEnd"/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:</w:t>
            </w:r>
          </w:p>
          <w:p w14:paraId="66E629BA" w14:textId="77777777" w:rsidR="00026D82" w:rsidRDefault="00026D82" w:rsidP="00026D82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49F9ED09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Przeznaczenie i zastosowanie: CD14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MicroBeads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human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, 2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mL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są przeznaczone do separacji magnetycznej ludzkich komórek monocytów i makrofagów poprzez selekcję pozytywną (pozyskiwanie CD14</w:t>
            </w:r>
            <w:r w:rsidRPr="00071CCC">
              <w:rPr>
                <w:rFonts w:ascii="Cambria Math" w:eastAsia="Arial" w:hAnsi="Cambria Math" w:cs="Cambria Math"/>
                <w:sz w:val="16"/>
                <w:szCs w:val="16"/>
              </w:rPr>
              <w:t>⁺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) lub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deplecję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(usuwanie CD14</w:t>
            </w:r>
            <w:r w:rsidRPr="00071CCC">
              <w:rPr>
                <w:rFonts w:ascii="Cambria Math" w:eastAsia="Arial" w:hAnsi="Cambria Math" w:cs="Cambria Math"/>
                <w:sz w:val="16"/>
                <w:szCs w:val="16"/>
              </w:rPr>
              <w:t>⁺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) z materiałów biologicznych takich jak krew obwodowa, PBMC, krew pępowinowa, płyny ciała (np. opłucna, otrzewna, płyn stawowy) oraz tkanki (np. śledziona, węzły chłonne). </w:t>
            </w:r>
          </w:p>
          <w:p w14:paraId="7EF5DB76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74E09AA9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Zawartość i format produktu:</w:t>
            </w:r>
          </w:p>
          <w:p w14:paraId="21A3F067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38F1347B" w14:textId="294A71FE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Zestaw zawiera 2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mL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MicroBeads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sprzężonych z monoklonalnymi przeciwciałami anty-CD14 (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izoforma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mysia IgG2a) w buforze z substancją stabilizującą i 0,05% azotanu sodu, gotowy do użycia w standardowych protokołach MACS®. </w:t>
            </w:r>
          </w:p>
          <w:p w14:paraId="3455D1E4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3A28C8C9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Wydajność separacji: </w:t>
            </w:r>
          </w:p>
          <w:p w14:paraId="59C25885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5B61DA5D" w14:textId="49ABAAC0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Produkt jest optymalizowany do stosowania dla do 1 × 10⁹ komórek łącznie, co odpowiada około 100 standardowym separacjom magnetycznym przy pełnym wykorzystaniu objętości reagentów (orientacyjna dochowana zgodnie z kartą techniczną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Miltenyi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Biotec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). </w:t>
            </w:r>
          </w:p>
          <w:p w14:paraId="56201CE1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0BAEE1FC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Kompatybilność z systemami MACS: </w:t>
            </w:r>
          </w:p>
          <w:p w14:paraId="1F50B4AF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2900C48C" w14:textId="4F2025A3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Reagenty są zgodne z kolumnami MACS (np. MS, LS, XS) oraz separatorami MACS,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autoMACS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i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autoMACS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Pro, umożliwiając zarówno pozytywną selekcję, jak i </w:t>
            </w:r>
            <w:proofErr w:type="spellStart"/>
            <w:r w:rsidRPr="00071CCC">
              <w:rPr>
                <w:rFonts w:ascii="Arial" w:eastAsia="Arial" w:hAnsi="Arial" w:cs="Arial"/>
                <w:sz w:val="16"/>
                <w:szCs w:val="16"/>
              </w:rPr>
              <w:t>deplecję</w:t>
            </w:r>
            <w:proofErr w:type="spellEnd"/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CD14</w:t>
            </w:r>
            <w:r w:rsidRPr="00071CCC">
              <w:rPr>
                <w:rFonts w:ascii="Cambria Math" w:eastAsia="Arial" w:hAnsi="Cambria Math" w:cs="Cambria Math"/>
                <w:sz w:val="16"/>
                <w:szCs w:val="16"/>
              </w:rPr>
              <w:t>⁺</w:t>
            </w:r>
            <w:r w:rsidRPr="00071CCC">
              <w:rPr>
                <w:rFonts w:ascii="Arial" w:eastAsia="Arial" w:hAnsi="Arial" w:cs="Arial"/>
                <w:sz w:val="16"/>
                <w:szCs w:val="16"/>
              </w:rPr>
              <w:t xml:space="preserve"> komórek w zależności od wybranego formatu kolumny. </w:t>
            </w:r>
          </w:p>
          <w:p w14:paraId="1D80FC6A" w14:textId="5601ABAC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786021E8" w14:textId="77777777" w:rsidR="00071CCC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1A055531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b/>
                <w:bCs/>
                <w:sz w:val="16"/>
                <w:szCs w:val="16"/>
              </w:rPr>
              <w:t>Warunki przechowywania i użytkowania:</w:t>
            </w:r>
          </w:p>
          <w:p w14:paraId="3BA65110" w14:textId="77777777" w:rsid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02E9EED6" w14:textId="76809E43" w:rsidR="00026D82" w:rsidRPr="00071CCC" w:rsidRDefault="00071CCC" w:rsidP="00071CCC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71CCC">
              <w:rPr>
                <w:rFonts w:ascii="Arial" w:eastAsia="Arial" w:hAnsi="Arial" w:cs="Arial"/>
                <w:sz w:val="16"/>
                <w:szCs w:val="16"/>
              </w:rPr>
              <w:t>Produkt przechowywany w temperaturze 2–8 °C, chroniony przed światłem; producent zaleca nie zamrażać reagentów i stosować zgodnie z instrukcją obsługi MACS® w laboratoriach badawczych.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37C32D3" w14:textId="128328F6" w:rsidR="00026D82" w:rsidRPr="00EF3563" w:rsidRDefault="00026D82" w:rsidP="00026D82">
            <w:pPr>
              <w:spacing w:line="257" w:lineRule="auto"/>
              <w:rPr>
                <w:rFonts w:ascii="ArialMT" w:hAnsi="ArialMT" w:cs="ArialMT"/>
                <w:sz w:val="16"/>
                <w:szCs w:val="16"/>
              </w:rPr>
            </w:pPr>
            <w:r>
              <w:rPr>
                <w:rFonts w:ascii="ArialMT" w:hAnsi="ArialMT" w:cs="ArialMT"/>
                <w:sz w:val="16"/>
                <w:szCs w:val="16"/>
              </w:rPr>
              <w:t>130-050-201</w:t>
            </w:r>
            <w:r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-1119838772"/>
            <w:placeholder>
              <w:docPart w:val="EBFE937523684643AE1266ED11127A68"/>
            </w:placeholder>
          </w:sdtPr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2EB6B381" w14:textId="731A699D" w:rsidR="00026D82" w:rsidRDefault="00026D82" w:rsidP="00026D82">
                <w:pPr>
                  <w:spacing w:line="257" w:lineRule="auto"/>
                  <w:rPr>
                    <w:rFonts w:ascii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4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2112718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7158548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FA6F285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2B2D093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26D82" w14:paraId="4C5634D8" w14:textId="5012AAC4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026D82" w:rsidRPr="00D3249C" w:rsidRDefault="00026D82" w:rsidP="00026D82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026D82" w:rsidRPr="00D3249C" w:rsidRDefault="00026D82" w:rsidP="00026D82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4AA7895" w14:textId="77777777" w:rsidR="00012BDA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104B7AD" w14:textId="231C3D19" w:rsidR="00012BDA" w:rsidRPr="00F24171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Zamawiający dopuszcza</w:t>
      </w:r>
      <w:r w:rsidRPr="00F24171">
        <w:rPr>
          <w:rFonts w:ascii="Arial" w:hAnsi="Arial" w:cs="Arial"/>
          <w:sz w:val="18"/>
          <w:szCs w:val="18"/>
        </w:rPr>
        <w:t xml:space="preserve"> produkty równoważne pod względem funkcjonalności, jakości i zastosowania</w:t>
      </w:r>
      <w:r>
        <w:rPr>
          <w:rFonts w:ascii="Arial" w:hAnsi="Arial" w:cs="Arial"/>
          <w:sz w:val="18"/>
          <w:szCs w:val="18"/>
        </w:rPr>
        <w:t xml:space="preserve"> (tj. posiadające parametry nie gorsze niż </w:t>
      </w:r>
      <w:r w:rsidR="002B41B6">
        <w:rPr>
          <w:rFonts w:ascii="Arial" w:hAnsi="Arial" w:cs="Arial"/>
          <w:sz w:val="18"/>
          <w:szCs w:val="18"/>
        </w:rPr>
        <w:t>opisane)</w:t>
      </w:r>
      <w:r w:rsidRPr="00F24171">
        <w:rPr>
          <w:rFonts w:ascii="Arial" w:hAnsi="Arial" w:cs="Arial"/>
          <w:sz w:val="18"/>
          <w:szCs w:val="18"/>
        </w:rPr>
        <w:t>. W takim wypadku na wezwanie Zamawiającego Wykonawca zobowiązany jest do wykazania, że stosowane rozwiązania charakteryzują się parametrami na takim samym poziomie lub lepszymi niż ww. produkty.</w:t>
      </w:r>
    </w:p>
    <w:p w14:paraId="57375426" w14:textId="1D07316E" w:rsidR="00053430" w:rsidRDefault="00053430" w:rsidP="60414D5A"/>
    <w:sectPr w:rsidR="00053430" w:rsidSect="00F24171">
      <w:headerReference w:type="default" r:id="rId8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26E3E6" w14:textId="77777777" w:rsidR="00772B0B" w:rsidRDefault="00772B0B" w:rsidP="00F24171">
      <w:pPr>
        <w:spacing w:after="0" w:line="240" w:lineRule="auto"/>
      </w:pPr>
      <w:r>
        <w:separator/>
      </w:r>
    </w:p>
  </w:endnote>
  <w:endnote w:type="continuationSeparator" w:id="0">
    <w:p w14:paraId="05E8251B" w14:textId="77777777" w:rsidR="00772B0B" w:rsidRDefault="00772B0B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6F847" w14:textId="77777777" w:rsidR="00772B0B" w:rsidRDefault="00772B0B" w:rsidP="00F24171">
      <w:pPr>
        <w:spacing w:after="0" w:line="240" w:lineRule="auto"/>
      </w:pPr>
      <w:r>
        <w:separator/>
      </w:r>
    </w:p>
  </w:footnote>
  <w:footnote w:type="continuationSeparator" w:id="0">
    <w:p w14:paraId="52883FF0" w14:textId="77777777" w:rsidR="00772B0B" w:rsidRDefault="00772B0B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047437B"/>
    <w:multiLevelType w:val="multilevel"/>
    <w:tmpl w:val="FBA0A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DE2A8D"/>
    <w:multiLevelType w:val="multilevel"/>
    <w:tmpl w:val="1E14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8868F6"/>
    <w:multiLevelType w:val="multilevel"/>
    <w:tmpl w:val="D7322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122FA"/>
    <w:multiLevelType w:val="multilevel"/>
    <w:tmpl w:val="F9303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7F5B2A63"/>
    <w:multiLevelType w:val="multilevel"/>
    <w:tmpl w:val="C650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26D82"/>
    <w:rsid w:val="00053430"/>
    <w:rsid w:val="00071CCC"/>
    <w:rsid w:val="000D206F"/>
    <w:rsid w:val="00163ABB"/>
    <w:rsid w:val="001D183C"/>
    <w:rsid w:val="001E194A"/>
    <w:rsid w:val="00226670"/>
    <w:rsid w:val="00226B20"/>
    <w:rsid w:val="00240384"/>
    <w:rsid w:val="002A6958"/>
    <w:rsid w:val="002B41B6"/>
    <w:rsid w:val="002D3194"/>
    <w:rsid w:val="003555F8"/>
    <w:rsid w:val="003A6FAB"/>
    <w:rsid w:val="00411B37"/>
    <w:rsid w:val="004A0AD8"/>
    <w:rsid w:val="005129B3"/>
    <w:rsid w:val="005C094B"/>
    <w:rsid w:val="0060627F"/>
    <w:rsid w:val="006403DB"/>
    <w:rsid w:val="006645AE"/>
    <w:rsid w:val="006D574B"/>
    <w:rsid w:val="00727A0E"/>
    <w:rsid w:val="007727BA"/>
    <w:rsid w:val="00772B0B"/>
    <w:rsid w:val="007A23CF"/>
    <w:rsid w:val="007D6301"/>
    <w:rsid w:val="00862CA8"/>
    <w:rsid w:val="00892746"/>
    <w:rsid w:val="008E0843"/>
    <w:rsid w:val="008E0B30"/>
    <w:rsid w:val="00901834"/>
    <w:rsid w:val="00936749"/>
    <w:rsid w:val="0097222C"/>
    <w:rsid w:val="009C630A"/>
    <w:rsid w:val="00A53289"/>
    <w:rsid w:val="00A86CA7"/>
    <w:rsid w:val="00B24858"/>
    <w:rsid w:val="00B459FF"/>
    <w:rsid w:val="00B5074B"/>
    <w:rsid w:val="00C11BC6"/>
    <w:rsid w:val="00CB3424"/>
    <w:rsid w:val="00D3249C"/>
    <w:rsid w:val="00D901AF"/>
    <w:rsid w:val="00DF219B"/>
    <w:rsid w:val="00E36AA6"/>
    <w:rsid w:val="00E5317C"/>
    <w:rsid w:val="00EE13E1"/>
    <w:rsid w:val="00EF3563"/>
    <w:rsid w:val="00F24171"/>
    <w:rsid w:val="00F30138"/>
    <w:rsid w:val="00FA0753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  <w:style w:type="paragraph" w:styleId="NormalnyWeb">
    <w:name w:val="Normal (Web)"/>
    <w:basedOn w:val="Normalny"/>
    <w:uiPriority w:val="99"/>
    <w:semiHidden/>
    <w:unhideWhenUsed/>
    <w:rsid w:val="00EF356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F35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35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87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4BA1D79E5D405F8BA75B93DBAC7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3FC30-8579-4BB6-8B1F-D63169A5E334}"/>
      </w:docPartPr>
      <w:docPartBody>
        <w:p w:rsidR="00823A78" w:rsidRDefault="00A96F50" w:rsidP="00A96F50">
          <w:pPr>
            <w:pStyle w:val="F84BA1D79E5D405F8BA75B93DBAC7E19"/>
          </w:pPr>
          <w:r w:rsidRPr="00A9188F">
            <w:rPr>
              <w:rStyle w:val="Tekstzastpczy"/>
            </w:rPr>
            <w:t>Wpisz ilość</w:t>
          </w:r>
        </w:p>
      </w:docPartBody>
    </w:docPart>
    <w:docPart>
      <w:docPartPr>
        <w:name w:val="EBFE937523684643AE1266ED11127A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07E807-3E9D-4630-8CDE-A5BAD51B18FC}"/>
      </w:docPartPr>
      <w:docPartBody>
        <w:p w:rsidR="00000000" w:rsidRDefault="00F56283" w:rsidP="00F56283">
          <w:pPr>
            <w:pStyle w:val="EBFE937523684643AE1266ED11127A68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0"/>
    <w:rsid w:val="00282F6C"/>
    <w:rsid w:val="003970C9"/>
    <w:rsid w:val="003A20C0"/>
    <w:rsid w:val="004D3606"/>
    <w:rsid w:val="00823A78"/>
    <w:rsid w:val="00901834"/>
    <w:rsid w:val="009601A6"/>
    <w:rsid w:val="00A96F50"/>
    <w:rsid w:val="00AE1F0E"/>
    <w:rsid w:val="00B87EBD"/>
    <w:rsid w:val="00BC3A3B"/>
    <w:rsid w:val="00C90BA9"/>
    <w:rsid w:val="00E30D1D"/>
    <w:rsid w:val="00F56283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56283"/>
    <w:rPr>
      <w:color w:val="808080"/>
    </w:rPr>
  </w:style>
  <w:style w:type="paragraph" w:customStyle="1" w:styleId="F84BA1D79E5D405F8BA75B93DBAC7E19">
    <w:name w:val="F84BA1D79E5D405F8BA75B93DBAC7E19"/>
    <w:rsid w:val="00A96F50"/>
  </w:style>
  <w:style w:type="paragraph" w:customStyle="1" w:styleId="EBFE937523684643AE1266ED11127A68">
    <w:name w:val="EBFE937523684643AE1266ED11127A68"/>
    <w:rsid w:val="00F562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1123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24</cp:revision>
  <dcterms:created xsi:type="dcterms:W3CDTF">2024-04-04T13:25:00Z</dcterms:created>
  <dcterms:modified xsi:type="dcterms:W3CDTF">2025-12-11T11:51:00Z</dcterms:modified>
</cp:coreProperties>
</file>