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5C5C74B0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6A4CE4">
        <w:rPr>
          <w:rFonts w:ascii="Times New Roman" w:eastAsia="Calibri" w:hAnsi="Times New Roman" w:cs="Times New Roman"/>
          <w:bCs/>
          <w:sz w:val="18"/>
        </w:rPr>
        <w:t>27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>/FENG-</w:t>
      </w:r>
      <w:r w:rsidR="006A4CE4">
        <w:rPr>
          <w:rFonts w:ascii="Times New Roman" w:eastAsia="Calibri" w:hAnsi="Times New Roman" w:cs="Times New Roman"/>
          <w:bCs/>
          <w:sz w:val="18"/>
        </w:rPr>
        <w:t>H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5B8A283E" w:rsidR="00D3249C" w:rsidRPr="00D3249C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6A4CE4">
        <w:rPr>
          <w:rFonts w:ascii="Times New Roman" w:eastAsia="Times New Roman" w:hAnsi="Times New Roman" w:cs="Times New Roman"/>
          <w:szCs w:val="24"/>
          <w:lang w:eastAsia="pl-PL"/>
        </w:rPr>
        <w:t>27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6A4CE4">
        <w:rPr>
          <w:rFonts w:ascii="Times New Roman" w:eastAsia="Times New Roman" w:hAnsi="Times New Roman" w:cs="Times New Roman"/>
          <w:szCs w:val="24"/>
          <w:lang w:eastAsia="pl-PL"/>
        </w:rPr>
        <w:t>H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Zakup</w:t>
      </w:r>
      <w:r w:rsidR="00B24858">
        <w:rPr>
          <w:rFonts w:ascii="Times New Roman" w:eastAsia="Times New Roman" w:hAnsi="Times New Roman" w:cs="Times New Roman"/>
          <w:b/>
          <w:lang w:eastAsia="pl-PL"/>
        </w:rPr>
        <w:t>u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 xml:space="preserve"> materiałów do separacji monocytów w układzie zamkniętym i hodowli makrofagów w grancie FENG –</w:t>
      </w:r>
      <w:r w:rsidR="0024038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F3563" w:rsidRPr="00EF3563">
        <w:rPr>
          <w:rFonts w:ascii="Times New Roman" w:eastAsia="Times New Roman" w:hAnsi="Times New Roman" w:cs="Times New Roman"/>
          <w:b/>
          <w:lang w:eastAsia="pl-PL"/>
        </w:rPr>
        <w:t xml:space="preserve">bufor PBS-EDTA do systemu </w:t>
      </w:r>
      <w:proofErr w:type="spellStart"/>
      <w:r w:rsidR="00EF3563" w:rsidRPr="00EF3563">
        <w:rPr>
          <w:rFonts w:ascii="Times New Roman" w:eastAsia="Times New Roman" w:hAnsi="Times New Roman" w:cs="Times New Roman"/>
          <w:b/>
          <w:lang w:eastAsia="pl-PL"/>
        </w:rPr>
        <w:t>CliniMACS</w:t>
      </w:r>
      <w:proofErr w:type="spellEnd"/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A3D6F1C" w14:textId="77777777" w:rsidR="00B24858" w:rsidRPr="00B24858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Calibri" w:eastAsia="Calibri" w:hAnsi="Calibri" w:cs="Calibri"/>
          <w:b/>
          <w:bCs/>
        </w:rPr>
        <w:t>D</w:t>
      </w:r>
      <w:r w:rsidR="7B108065" w:rsidRPr="7B108065">
        <w:rPr>
          <w:rFonts w:ascii="Calibri" w:eastAsia="Calibri" w:hAnsi="Calibri" w:cs="Calibri"/>
          <w:b/>
          <w:bCs/>
        </w:rPr>
        <w:t>ostawa</w:t>
      </w:r>
      <w:r w:rsidR="006403DB">
        <w:rPr>
          <w:rFonts w:ascii="Calibri" w:eastAsia="Calibri" w:hAnsi="Calibri" w:cs="Calibri"/>
          <w:b/>
          <w:bCs/>
        </w:rPr>
        <w:t xml:space="preserve">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materiałów do separacji monocytów w układzie zamkniętym i hodowli makrofagów w grancie FENG –</w:t>
      </w:r>
    </w:p>
    <w:p w14:paraId="25B10D18" w14:textId="77777777" w:rsidR="00EF3563" w:rsidRDefault="00EF3563" w:rsidP="00B24858">
      <w:pPr>
        <w:spacing w:line="257" w:lineRule="auto"/>
        <w:rPr>
          <w:rFonts w:ascii="Times New Roman" w:eastAsia="Times New Roman" w:hAnsi="Times New Roman" w:cs="Times New Roman"/>
          <w:b/>
          <w:lang w:eastAsia="pl-PL"/>
        </w:rPr>
      </w:pPr>
      <w:r w:rsidRPr="00EF3563">
        <w:rPr>
          <w:rFonts w:ascii="Times New Roman" w:eastAsia="Times New Roman" w:hAnsi="Times New Roman" w:cs="Times New Roman"/>
          <w:b/>
          <w:lang w:eastAsia="pl-PL"/>
        </w:rPr>
        <w:t xml:space="preserve">bufor PBS-EDTA do systemu </w:t>
      </w:r>
      <w:proofErr w:type="spellStart"/>
      <w:r w:rsidRPr="00EF3563">
        <w:rPr>
          <w:rFonts w:ascii="Times New Roman" w:eastAsia="Times New Roman" w:hAnsi="Times New Roman" w:cs="Times New Roman"/>
          <w:b/>
          <w:lang w:eastAsia="pl-PL"/>
        </w:rPr>
        <w:t>CliniMACS</w:t>
      </w:r>
      <w:proofErr w:type="spellEnd"/>
    </w:p>
    <w:p w14:paraId="701B462D" w14:textId="5C438779" w:rsidR="00053430" w:rsidRDefault="60414D5A" w:rsidP="00B24858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9F6A1B" w14:textId="77777777" w:rsidR="00EF3563" w:rsidRDefault="00EF3563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CliniMACS</w:t>
            </w:r>
            <w:proofErr w:type="spellEnd"/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PBS/EDTA </w:t>
            </w:r>
            <w:proofErr w:type="spellStart"/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Buffer</w:t>
            </w:r>
            <w:proofErr w:type="spellEnd"/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2 x 3 L (CE)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2A1CF5BD" w14:textId="77777777" w:rsidR="00EF3563" w:rsidRDefault="00EF3563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E401CDE" w14:textId="77777777" w:rsidR="00EF3563" w:rsidRDefault="007A23CF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EF3563"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Skład buforu:</w:t>
            </w:r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 Bufor fosforanowy PBS (</w:t>
            </w:r>
            <w:proofErr w:type="spellStart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>Phosphate-Buffered</w:t>
            </w:r>
            <w:proofErr w:type="spellEnd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>Saline</w:t>
            </w:r>
            <w:proofErr w:type="spellEnd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) z dodatkiem 1 </w:t>
            </w:r>
            <w:proofErr w:type="spellStart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>mM</w:t>
            </w:r>
            <w:proofErr w:type="spellEnd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 EDTA w </w:t>
            </w:r>
            <w:proofErr w:type="spellStart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>pH</w:t>
            </w:r>
            <w:proofErr w:type="spellEnd"/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 około 7,2, zapewniający stabilne warunki osmotyczne dla komórek w procedurach separacji i przygotowania komórek. </w:t>
            </w:r>
          </w:p>
          <w:p w14:paraId="7EFCFC27" w14:textId="7833974B" w:rsidR="00EF3563" w:rsidRPr="00EF3563" w:rsidRDefault="001D23C8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hyperlink r:id="rId8" w:tgtFrame="_blank" w:history="1"/>
          </w:p>
          <w:p w14:paraId="4A624D71" w14:textId="591FA135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Charakterystyka produktu: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Sterylny, izotoniczny roztwór wolny od endotoksyn i drobnoustrojów, dostarczany jako gotowy do użycia płyn w plastikowych workach o pojemności 3 L (2 × 3 L). </w:t>
            </w:r>
          </w:p>
          <w:p w14:paraId="1DFC6ECE" w14:textId="77777777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841C9D5" w14:textId="3A76BD76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Zgodność regulacyjna: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Produkt oznakowany znakiem CE jako wyroby medyczne zgodne z normą ISO 13485, przeznaczony do łączenia z systemem </w:t>
            </w:r>
            <w:proofErr w:type="spellStart"/>
            <w:r w:rsidRPr="00EF3563">
              <w:rPr>
                <w:rFonts w:ascii="Arial" w:eastAsia="Arial" w:hAnsi="Arial" w:cs="Arial"/>
                <w:sz w:val="16"/>
                <w:szCs w:val="16"/>
              </w:rPr>
              <w:t>CliniMACS</w:t>
            </w:r>
            <w:proofErr w:type="spellEnd"/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do separacji komórek in vitro (wykonywany jako część procedur laboratoryjnych zgodnych z przepisami UE). </w:t>
            </w:r>
          </w:p>
          <w:p w14:paraId="784F36A6" w14:textId="77777777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EE8CBCA" w14:textId="50E781C5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 zastosowania: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Bufor wykorzystywany w procedurach separacji komórek </w:t>
            </w:r>
            <w:proofErr w:type="spellStart"/>
            <w:r w:rsidRPr="00EF3563">
              <w:rPr>
                <w:rFonts w:ascii="Arial" w:eastAsia="Arial" w:hAnsi="Arial" w:cs="Arial"/>
                <w:sz w:val="16"/>
                <w:szCs w:val="16"/>
              </w:rPr>
              <w:t>hematopoetycznych</w:t>
            </w:r>
            <w:proofErr w:type="spellEnd"/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i innych typów komórek w systemach magnetycznych MACS, służący do płukania, rozcieńczania i przygotowania próbek komórkowych przed analizą. </w:t>
            </w:r>
          </w:p>
          <w:p w14:paraId="5C6A4984" w14:textId="77777777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3DEF54D" w14:textId="74933CD1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Opakowanie i ilość: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Dostawa w zestawie dwóch opakowań po 3 L (2 × 3 L) w sterylnych workach, wraz z dokumentacją zgodności CE i specyfikacją produktu</w:t>
            </w:r>
          </w:p>
          <w:p w14:paraId="629A5028" w14:textId="2B755A8C" w:rsidR="00F30138" w:rsidRPr="00F30138" w:rsidRDefault="00F30138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53CC2099" w:rsidR="00F30138" w:rsidRPr="00F30138" w:rsidRDefault="00EF3563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EF3563">
              <w:rPr>
                <w:rFonts w:ascii="ArialMT" w:hAnsi="ArialMT" w:cs="ArialMT"/>
                <w:sz w:val="16"/>
                <w:szCs w:val="16"/>
              </w:rPr>
              <w:t xml:space="preserve">200-070-029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7456A83F" w:rsidR="00F30138" w:rsidRPr="00F30138" w:rsidRDefault="006A4CE4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5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9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26282" w14:textId="77777777" w:rsidR="001D23C8" w:rsidRDefault="001D23C8" w:rsidP="00F24171">
      <w:pPr>
        <w:spacing w:after="0" w:line="240" w:lineRule="auto"/>
      </w:pPr>
      <w:r>
        <w:separator/>
      </w:r>
    </w:p>
  </w:endnote>
  <w:endnote w:type="continuationSeparator" w:id="0">
    <w:p w14:paraId="4A675847" w14:textId="77777777" w:rsidR="001D23C8" w:rsidRDefault="001D23C8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A1CA9" w14:textId="77777777" w:rsidR="001D23C8" w:rsidRDefault="001D23C8" w:rsidP="00F24171">
      <w:pPr>
        <w:spacing w:after="0" w:line="240" w:lineRule="auto"/>
      </w:pPr>
      <w:r>
        <w:separator/>
      </w:r>
    </w:p>
  </w:footnote>
  <w:footnote w:type="continuationSeparator" w:id="0">
    <w:p w14:paraId="20D8F5EA" w14:textId="77777777" w:rsidR="001D23C8" w:rsidRDefault="001D23C8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D23C8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A4CE4"/>
    <w:rsid w:val="006D574B"/>
    <w:rsid w:val="00727A0E"/>
    <w:rsid w:val="007727BA"/>
    <w:rsid w:val="007A23CF"/>
    <w:rsid w:val="007D6301"/>
    <w:rsid w:val="00862CA8"/>
    <w:rsid w:val="00892746"/>
    <w:rsid w:val="008E0843"/>
    <w:rsid w:val="008E0B30"/>
    <w:rsid w:val="00901834"/>
    <w:rsid w:val="00936749"/>
    <w:rsid w:val="0097222C"/>
    <w:rsid w:val="009C630A"/>
    <w:rsid w:val="00A53289"/>
    <w:rsid w:val="00A86CA7"/>
    <w:rsid w:val="00B24858"/>
    <w:rsid w:val="00B459FF"/>
    <w:rsid w:val="00B5074B"/>
    <w:rsid w:val="00C11BC6"/>
    <w:rsid w:val="00CB3424"/>
    <w:rsid w:val="00D3249C"/>
    <w:rsid w:val="00D901AF"/>
    <w:rsid w:val="00DF219B"/>
    <w:rsid w:val="00E36AA6"/>
    <w:rsid w:val="00E5317C"/>
    <w:rsid w:val="00EE13E1"/>
    <w:rsid w:val="00EF3563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paragraph" w:styleId="NormalnyWeb">
    <w:name w:val="Normal (Web)"/>
    <w:basedOn w:val="Normalny"/>
    <w:uiPriority w:val="99"/>
    <w:semiHidden/>
    <w:unhideWhenUsed/>
    <w:rsid w:val="00EF356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F35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35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cs.yilimart.com/shop/details/200-070-029?utm_source=chatgp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901834"/>
    <w:rsid w:val="009601A6"/>
    <w:rsid w:val="00A96F50"/>
    <w:rsid w:val="00AE1F0E"/>
    <w:rsid w:val="00B14BEA"/>
    <w:rsid w:val="00B87EBD"/>
    <w:rsid w:val="00BC3A3B"/>
    <w:rsid w:val="00C90BA9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24</cp:revision>
  <dcterms:created xsi:type="dcterms:W3CDTF">2024-04-04T13:25:00Z</dcterms:created>
  <dcterms:modified xsi:type="dcterms:W3CDTF">2025-12-11T11:26:00Z</dcterms:modified>
</cp:coreProperties>
</file>