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2672F4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2A3403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2A3403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C20F096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0D0D26" w:rsidRPr="000D0D26">
        <w:rPr>
          <w:b/>
        </w:rPr>
        <w:t>odczynnika</w:t>
      </w:r>
      <w:r w:rsidR="002A3403">
        <w:rPr>
          <w:b/>
        </w:rPr>
        <w:t xml:space="preserve"> </w:t>
      </w:r>
      <w:r w:rsidR="00BC64A5" w:rsidRPr="00BC64A5">
        <w:rPr>
          <w:b/>
        </w:rPr>
        <w:t>– surowicy płodowej bydlęcej</w:t>
      </w:r>
      <w:r w:rsidR="00BC64A5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DD6AB52" w14:textId="77777777" w:rsidR="002A3403" w:rsidRDefault="002A3403" w:rsidP="002A3403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1F773957" w14:textId="77777777" w:rsidR="002A3403" w:rsidRDefault="002A3403" w:rsidP="002A3403">
      <w:pPr>
        <w:ind w:left="2832"/>
        <w:jc w:val="both"/>
        <w:rPr>
          <w:bCs/>
          <w:u w:val="single"/>
        </w:rPr>
      </w:pPr>
    </w:p>
    <w:p w14:paraId="7F582FF6" w14:textId="6DF64ACE" w:rsidR="007329DE" w:rsidRDefault="002A3403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2A3403">
        <w:rPr>
          <w:bCs/>
          <w:u w:val="single"/>
        </w:rPr>
        <w:t>EURX sp. z o.o., ul. Przyrodników 3, 80-297 Gdańsk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E032E4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E032E4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1BB90" w14:textId="77777777" w:rsidR="00E032E4" w:rsidRDefault="00E032E4" w:rsidP="00846790">
      <w:r>
        <w:separator/>
      </w:r>
    </w:p>
  </w:endnote>
  <w:endnote w:type="continuationSeparator" w:id="0">
    <w:p w14:paraId="6FD8FCAA" w14:textId="77777777" w:rsidR="00E032E4" w:rsidRDefault="00E032E4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1F816" w14:textId="77777777" w:rsidR="00E032E4" w:rsidRDefault="00E032E4" w:rsidP="00846790">
      <w:r>
        <w:separator/>
      </w:r>
    </w:p>
  </w:footnote>
  <w:footnote w:type="continuationSeparator" w:id="0">
    <w:p w14:paraId="2D5DF8AD" w14:textId="77777777" w:rsidR="00E032E4" w:rsidRDefault="00E032E4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A340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87F03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BC64A5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32E4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2025-11-05T13:06:00Z</dcterms:created>
  <dcterms:modified xsi:type="dcterms:W3CDTF">2025-11-05T13:06:00Z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